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6E0575">
      <w:pPr>
        <w:tabs>
          <w:tab w:val="left" w:pos="5812"/>
        </w:tabs>
        <w:jc w:val="right"/>
        <w:rPr>
          <w:szCs w:val="24"/>
        </w:rPr>
      </w:pPr>
      <w:r w:rsidRPr="006E0575">
        <w:rPr>
          <w:szCs w:val="24"/>
        </w:rPr>
        <w:t xml:space="preserve">Anlage </w:t>
      </w:r>
      <w:r w:rsidR="008C5AC8">
        <w:rPr>
          <w:szCs w:val="24"/>
        </w:rPr>
        <w:t>1</w:t>
      </w:r>
      <w:r w:rsidRPr="006E0575">
        <w:rPr>
          <w:szCs w:val="24"/>
        </w:rPr>
        <w:t xml:space="preserve"> zur </w:t>
      </w:r>
      <w:proofErr w:type="spellStart"/>
      <w:r w:rsidRPr="006E0575">
        <w:rPr>
          <w:szCs w:val="24"/>
        </w:rPr>
        <w:t>GRDrs</w:t>
      </w:r>
      <w:proofErr w:type="spellEnd"/>
      <w:r w:rsidRPr="006E0575">
        <w:rPr>
          <w:szCs w:val="24"/>
        </w:rPr>
        <w:t xml:space="preserve"> </w:t>
      </w:r>
      <w:r w:rsidR="008C5AC8">
        <w:rPr>
          <w:szCs w:val="24"/>
        </w:rPr>
        <w:t>831</w:t>
      </w:r>
      <w:r w:rsidR="005F5B3D">
        <w:rPr>
          <w:szCs w:val="24"/>
        </w:rPr>
        <w:t>/201</w:t>
      </w:r>
      <w:r w:rsidR="008A6853">
        <w:rPr>
          <w:szCs w:val="24"/>
        </w:rPr>
        <w:t>7</w:t>
      </w:r>
    </w:p>
    <w:p w:rsidR="003D7B0B" w:rsidRPr="006E0575" w:rsidRDefault="003D7B0B" w:rsidP="006E0575"/>
    <w:p w:rsidR="003D7B0B" w:rsidRPr="006E0575" w:rsidRDefault="003D7B0B" w:rsidP="006E0575"/>
    <w:p w:rsidR="00184EDC" w:rsidRDefault="003D7B0B" w:rsidP="005A56AA">
      <w:pPr>
        <w:tabs>
          <w:tab w:val="left" w:pos="6521"/>
        </w:tabs>
        <w:jc w:val="center"/>
        <w:rPr>
          <w:b/>
          <w:sz w:val="36"/>
        </w:rPr>
      </w:pPr>
      <w:r>
        <w:rPr>
          <w:b/>
          <w:sz w:val="36"/>
          <w:u w:val="single"/>
        </w:rPr>
        <w:t>Stellenschaffun</w:t>
      </w:r>
      <w:r w:rsidRPr="00184EDC">
        <w:rPr>
          <w:b/>
          <w:sz w:val="36"/>
          <w:u w:val="single"/>
        </w:rPr>
        <w:t>g</w:t>
      </w:r>
    </w:p>
    <w:p w:rsidR="003D7B0B" w:rsidRPr="00341F1E" w:rsidRDefault="007A29E4" w:rsidP="005A56AA">
      <w:pPr>
        <w:tabs>
          <w:tab w:val="left" w:pos="6521"/>
        </w:tabs>
        <w:jc w:val="center"/>
        <w:rPr>
          <w:b/>
          <w:sz w:val="36"/>
          <w:u w:val="single"/>
        </w:rPr>
      </w:pPr>
      <w:r>
        <w:rPr>
          <w:b/>
          <w:sz w:val="36"/>
          <w:u w:val="single"/>
        </w:rPr>
        <w:t>zum</w:t>
      </w:r>
      <w:r w:rsidR="00184EDC" w:rsidRPr="00341F1E">
        <w:rPr>
          <w:b/>
          <w:sz w:val="36"/>
          <w:u w:val="single"/>
        </w:rPr>
        <w:t xml:space="preserve"> Stellenplan 20</w:t>
      </w:r>
      <w:r w:rsidR="00341F1E" w:rsidRPr="00341F1E">
        <w:rPr>
          <w:b/>
          <w:sz w:val="36"/>
          <w:u w:val="single"/>
        </w:rPr>
        <w:t>1</w:t>
      </w:r>
      <w:r w:rsidR="008A6853">
        <w:rPr>
          <w:b/>
          <w:sz w:val="36"/>
          <w:u w:val="single"/>
        </w:rPr>
        <w:t>8</w:t>
      </w:r>
    </w:p>
    <w:p w:rsidR="003D7B0B" w:rsidRDefault="003D7B0B" w:rsidP="006E0575"/>
    <w:p w:rsidR="008C5AC8" w:rsidRDefault="008C5AC8" w:rsidP="006E05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5F5B3D">
        <w:trPr>
          <w:tblHeader/>
        </w:trPr>
        <w:tc>
          <w:tcPr>
            <w:tcW w:w="1814"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Org.</w:t>
            </w:r>
            <w:r w:rsidR="005F5B3D">
              <w:rPr>
                <w:sz w:val="16"/>
                <w:szCs w:val="16"/>
              </w:rPr>
              <w:t>-E</w:t>
            </w:r>
            <w:r w:rsidR="005F5B3D" w:rsidRPr="006E0575">
              <w:rPr>
                <w:sz w:val="16"/>
                <w:szCs w:val="16"/>
              </w:rPr>
              <w:t>inheit</w:t>
            </w:r>
            <w:r w:rsidR="005F5B3D" w:rsidRPr="006E0575">
              <w:rPr>
                <w:sz w:val="16"/>
                <w:szCs w:val="16"/>
              </w:rPr>
              <w:br/>
            </w:r>
            <w:r w:rsidR="005F5B3D">
              <w:rPr>
                <w:sz w:val="16"/>
                <w:szCs w:val="16"/>
              </w:rPr>
              <w:br/>
            </w:r>
            <w:r>
              <w:rPr>
                <w:sz w:val="16"/>
                <w:szCs w:val="16"/>
              </w:rPr>
              <w:t xml:space="preserve"> </w:t>
            </w:r>
            <w:r w:rsidR="005F5B3D">
              <w:rPr>
                <w:sz w:val="16"/>
                <w:szCs w:val="16"/>
              </w:rPr>
              <w:t>Kostenstelle</w:t>
            </w:r>
          </w:p>
        </w:tc>
        <w:tc>
          <w:tcPr>
            <w:tcW w:w="1701"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Amt</w:t>
            </w:r>
          </w:p>
        </w:tc>
        <w:tc>
          <w:tcPr>
            <w:tcW w:w="794" w:type="dxa"/>
            <w:shd w:val="pct12" w:color="auto" w:fill="FFFFFF"/>
            <w:vAlign w:val="center"/>
          </w:tcPr>
          <w:p w:rsidR="00606F80" w:rsidRDefault="008A6853" w:rsidP="008A6853">
            <w:pPr>
              <w:spacing w:before="60" w:after="60" w:line="200" w:lineRule="exact"/>
              <w:ind w:left="-85" w:right="-85"/>
              <w:rPr>
                <w:sz w:val="16"/>
                <w:szCs w:val="16"/>
              </w:rPr>
            </w:pPr>
            <w:r>
              <w:rPr>
                <w:sz w:val="16"/>
                <w:szCs w:val="16"/>
              </w:rPr>
              <w:t xml:space="preserve"> </w:t>
            </w:r>
            <w:r w:rsidR="00606F80">
              <w:rPr>
                <w:sz w:val="16"/>
                <w:szCs w:val="16"/>
              </w:rPr>
              <w:t>BesGr.</w:t>
            </w:r>
          </w:p>
          <w:p w:rsidR="00606F80" w:rsidRDefault="008A6853" w:rsidP="008A6853">
            <w:pPr>
              <w:spacing w:before="60" w:after="60" w:line="200" w:lineRule="exact"/>
              <w:ind w:left="-85" w:right="-85"/>
              <w:rPr>
                <w:sz w:val="16"/>
                <w:szCs w:val="16"/>
              </w:rPr>
            </w:pPr>
            <w:r>
              <w:rPr>
                <w:sz w:val="16"/>
                <w:szCs w:val="16"/>
              </w:rPr>
              <w:t xml:space="preserve"> </w:t>
            </w:r>
            <w:r w:rsidR="00606F80">
              <w:rPr>
                <w:sz w:val="16"/>
                <w:szCs w:val="16"/>
              </w:rPr>
              <w:t>oder</w:t>
            </w:r>
          </w:p>
          <w:p w:rsidR="00606F80" w:rsidRPr="006E0575" w:rsidRDefault="008A6853" w:rsidP="008A6853">
            <w:pPr>
              <w:spacing w:before="60" w:after="60" w:line="200" w:lineRule="exact"/>
              <w:ind w:left="-85" w:right="-85"/>
              <w:rPr>
                <w:sz w:val="16"/>
                <w:szCs w:val="16"/>
              </w:rPr>
            </w:pPr>
            <w:r>
              <w:rPr>
                <w:sz w:val="16"/>
                <w:szCs w:val="16"/>
              </w:rPr>
              <w:t xml:space="preserve"> </w:t>
            </w:r>
            <w:r w:rsidR="00606F80">
              <w:rPr>
                <w:sz w:val="16"/>
                <w:szCs w:val="16"/>
              </w:rPr>
              <w:t>EG</w:t>
            </w:r>
          </w:p>
        </w:tc>
        <w:tc>
          <w:tcPr>
            <w:tcW w:w="1928" w:type="dxa"/>
            <w:shd w:val="pct12" w:color="auto" w:fill="FFFFFF"/>
            <w:vAlign w:val="center"/>
          </w:tcPr>
          <w:p w:rsidR="005F5B3D" w:rsidRPr="006E0575" w:rsidRDefault="008A6853" w:rsidP="008A6853">
            <w:pPr>
              <w:spacing w:before="60" w:after="60" w:line="200" w:lineRule="exact"/>
              <w:ind w:left="-85" w:right="-85"/>
              <w:rPr>
                <w:sz w:val="16"/>
                <w:szCs w:val="16"/>
              </w:rPr>
            </w:pPr>
            <w:r>
              <w:rPr>
                <w:sz w:val="16"/>
                <w:szCs w:val="16"/>
              </w:rPr>
              <w:t xml:space="preserve"> </w:t>
            </w:r>
            <w:r w:rsidR="005F5B3D" w:rsidRPr="006E0575">
              <w:rPr>
                <w:sz w:val="16"/>
                <w:szCs w:val="16"/>
              </w:rPr>
              <w:t>Funktionsbezeichnung</w:t>
            </w:r>
          </w:p>
        </w:tc>
        <w:tc>
          <w:tcPr>
            <w:tcW w:w="737"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Anzahl</w:t>
            </w:r>
            <w:r w:rsidR="005F5B3D">
              <w:rPr>
                <w:sz w:val="16"/>
                <w:szCs w:val="16"/>
              </w:rPr>
              <w:br/>
            </w:r>
            <w:r>
              <w:rPr>
                <w:sz w:val="16"/>
                <w:szCs w:val="16"/>
              </w:rPr>
              <w:t xml:space="preserve"> </w:t>
            </w:r>
            <w:r w:rsidR="005F5B3D" w:rsidRPr="006E0575">
              <w:rPr>
                <w:sz w:val="16"/>
                <w:szCs w:val="16"/>
              </w:rPr>
              <w:t>der</w:t>
            </w:r>
            <w:r w:rsidR="005F5B3D" w:rsidRPr="006E0575">
              <w:rPr>
                <w:sz w:val="16"/>
                <w:szCs w:val="16"/>
              </w:rPr>
              <w:br/>
            </w:r>
            <w:r>
              <w:rPr>
                <w:sz w:val="16"/>
                <w:szCs w:val="16"/>
              </w:rPr>
              <w:t xml:space="preserve"> </w:t>
            </w:r>
            <w:r w:rsidR="005F5B3D" w:rsidRPr="006E0575">
              <w:rPr>
                <w:sz w:val="16"/>
                <w:szCs w:val="16"/>
              </w:rPr>
              <w:t>Stellen</w:t>
            </w:r>
          </w:p>
        </w:tc>
        <w:tc>
          <w:tcPr>
            <w:tcW w:w="1134" w:type="dxa"/>
            <w:shd w:val="pct12" w:color="auto" w:fill="FFFFFF"/>
            <w:vAlign w:val="center"/>
          </w:tcPr>
          <w:p w:rsidR="005F5B3D" w:rsidRPr="006E0575" w:rsidRDefault="00906404" w:rsidP="008A6853">
            <w:pPr>
              <w:spacing w:before="60" w:after="60" w:line="200" w:lineRule="exact"/>
              <w:ind w:left="-85" w:right="-85"/>
              <w:rPr>
                <w:sz w:val="16"/>
                <w:szCs w:val="16"/>
              </w:rPr>
            </w:pPr>
            <w:r>
              <w:rPr>
                <w:sz w:val="16"/>
                <w:szCs w:val="16"/>
              </w:rPr>
              <w:t xml:space="preserve"> </w:t>
            </w:r>
            <w:r w:rsidR="005F5B3D" w:rsidRPr="006E0575">
              <w:rPr>
                <w:sz w:val="16"/>
                <w:szCs w:val="16"/>
              </w:rPr>
              <w:t>Stellen-</w:t>
            </w:r>
            <w:r w:rsidR="005F5B3D" w:rsidRPr="006E0575">
              <w:rPr>
                <w:sz w:val="16"/>
                <w:szCs w:val="16"/>
              </w:rPr>
              <w:br/>
            </w:r>
            <w:r>
              <w:rPr>
                <w:sz w:val="16"/>
                <w:szCs w:val="16"/>
              </w:rPr>
              <w:t xml:space="preserve"> </w:t>
            </w:r>
            <w:r w:rsidR="005F5B3D" w:rsidRPr="006E0575">
              <w:rPr>
                <w:sz w:val="16"/>
                <w:szCs w:val="16"/>
              </w:rPr>
              <w:t>vermerk</w:t>
            </w:r>
          </w:p>
        </w:tc>
        <w:tc>
          <w:tcPr>
            <w:tcW w:w="1417" w:type="dxa"/>
            <w:shd w:val="pct12" w:color="auto" w:fill="FFFFFF"/>
            <w:vAlign w:val="center"/>
          </w:tcPr>
          <w:p w:rsidR="005F5B3D" w:rsidRPr="006E0575" w:rsidRDefault="00906404" w:rsidP="00906404">
            <w:pPr>
              <w:spacing w:before="60" w:after="60" w:line="200" w:lineRule="exact"/>
              <w:ind w:left="-85" w:right="-85"/>
              <w:rPr>
                <w:sz w:val="16"/>
                <w:szCs w:val="16"/>
              </w:rPr>
            </w:pPr>
            <w:r>
              <w:rPr>
                <w:sz w:val="16"/>
                <w:szCs w:val="16"/>
              </w:rPr>
              <w:t xml:space="preserve"> </w:t>
            </w:r>
            <w:r w:rsidR="005F5B3D">
              <w:rPr>
                <w:sz w:val="16"/>
                <w:szCs w:val="16"/>
              </w:rPr>
              <w:t>d</w:t>
            </w:r>
            <w:r w:rsidR="005F5B3D" w:rsidRPr="006E0575">
              <w:rPr>
                <w:sz w:val="16"/>
                <w:szCs w:val="16"/>
              </w:rPr>
              <w:t>urchschnittl.</w:t>
            </w:r>
            <w:r w:rsidR="008A6853">
              <w:rPr>
                <w:sz w:val="16"/>
                <w:szCs w:val="16"/>
              </w:rPr>
              <w:t xml:space="preserve"> jährl.</w:t>
            </w:r>
            <w:r>
              <w:rPr>
                <w:sz w:val="16"/>
                <w:szCs w:val="16"/>
              </w:rPr>
              <w:br/>
              <w:t xml:space="preserve"> </w:t>
            </w:r>
            <w:r w:rsidR="008A6853">
              <w:rPr>
                <w:sz w:val="16"/>
                <w:szCs w:val="16"/>
              </w:rPr>
              <w:t>kosten</w:t>
            </w:r>
            <w:r w:rsidR="005F5B3D">
              <w:rPr>
                <w:sz w:val="16"/>
                <w:szCs w:val="16"/>
              </w:rPr>
              <w:t>wirksamer</w:t>
            </w:r>
            <w:r w:rsidR="005F5B3D">
              <w:rPr>
                <w:sz w:val="16"/>
                <w:szCs w:val="16"/>
              </w:rPr>
              <w:br/>
            </w:r>
            <w:r>
              <w:rPr>
                <w:sz w:val="16"/>
                <w:szCs w:val="16"/>
              </w:rPr>
              <w:t xml:space="preserve"> </w:t>
            </w:r>
            <w:r w:rsidR="005F5B3D" w:rsidRPr="006E0575">
              <w:rPr>
                <w:sz w:val="16"/>
                <w:szCs w:val="16"/>
              </w:rPr>
              <w:t>Auf</w:t>
            </w:r>
            <w:r w:rsidR="005F5B3D">
              <w:rPr>
                <w:sz w:val="16"/>
                <w:szCs w:val="16"/>
              </w:rPr>
              <w:t>wand</w:t>
            </w:r>
            <w:r w:rsidR="008A6853">
              <w:rPr>
                <w:sz w:val="16"/>
                <w:szCs w:val="16"/>
              </w:rPr>
              <w:t xml:space="preserve"> in €</w:t>
            </w:r>
          </w:p>
        </w:tc>
      </w:tr>
      <w:tr w:rsidR="005F5B3D" w:rsidRPr="006E0575" w:rsidTr="005F5B3D">
        <w:tc>
          <w:tcPr>
            <w:tcW w:w="1814" w:type="dxa"/>
          </w:tcPr>
          <w:p w:rsidR="005F5B3D" w:rsidRDefault="005F5B3D" w:rsidP="006E0575">
            <w:pPr>
              <w:rPr>
                <w:sz w:val="20"/>
              </w:rPr>
            </w:pPr>
          </w:p>
          <w:p w:rsidR="005F5B3D" w:rsidRDefault="007645A0" w:rsidP="006E0575">
            <w:pPr>
              <w:rPr>
                <w:sz w:val="20"/>
              </w:rPr>
            </w:pPr>
            <w:r>
              <w:rPr>
                <w:sz w:val="20"/>
              </w:rPr>
              <w:t>12-20 (neu)</w:t>
            </w:r>
          </w:p>
          <w:p w:rsidR="0011112B" w:rsidRDefault="0011112B" w:rsidP="006E0575">
            <w:pPr>
              <w:rPr>
                <w:sz w:val="20"/>
              </w:rPr>
            </w:pPr>
          </w:p>
          <w:p w:rsidR="0011112B" w:rsidRDefault="00256F47" w:rsidP="006E0575">
            <w:pPr>
              <w:rPr>
                <w:sz w:val="20"/>
              </w:rPr>
            </w:pPr>
            <w:r>
              <w:rPr>
                <w:sz w:val="20"/>
              </w:rPr>
              <w:t>12205020</w:t>
            </w:r>
          </w:p>
          <w:p w:rsidR="005F5B3D" w:rsidRPr="006E0575" w:rsidRDefault="005F5B3D" w:rsidP="006E0575">
            <w:pPr>
              <w:rPr>
                <w:sz w:val="20"/>
              </w:rPr>
            </w:pPr>
          </w:p>
        </w:tc>
        <w:tc>
          <w:tcPr>
            <w:tcW w:w="1701" w:type="dxa"/>
          </w:tcPr>
          <w:p w:rsidR="005F5B3D" w:rsidRDefault="005F5B3D" w:rsidP="006E0575">
            <w:pPr>
              <w:rPr>
                <w:sz w:val="20"/>
              </w:rPr>
            </w:pPr>
          </w:p>
          <w:p w:rsidR="005F5B3D" w:rsidRPr="006E0575" w:rsidRDefault="008C5AC8" w:rsidP="006E0575">
            <w:pPr>
              <w:rPr>
                <w:sz w:val="20"/>
              </w:rPr>
            </w:pPr>
            <w:r>
              <w:rPr>
                <w:sz w:val="20"/>
              </w:rPr>
              <w:t>Statistisches Amt</w:t>
            </w:r>
          </w:p>
        </w:tc>
        <w:tc>
          <w:tcPr>
            <w:tcW w:w="794" w:type="dxa"/>
          </w:tcPr>
          <w:p w:rsidR="005F5B3D" w:rsidRDefault="005F5B3D" w:rsidP="008A6853">
            <w:pPr>
              <w:rPr>
                <w:sz w:val="20"/>
              </w:rPr>
            </w:pPr>
          </w:p>
          <w:p w:rsidR="005F5B3D" w:rsidRPr="006E0575" w:rsidRDefault="007645A0" w:rsidP="008A6853">
            <w:pPr>
              <w:rPr>
                <w:sz w:val="20"/>
              </w:rPr>
            </w:pPr>
            <w:r>
              <w:rPr>
                <w:sz w:val="20"/>
              </w:rPr>
              <w:t>EG 13</w:t>
            </w:r>
          </w:p>
        </w:tc>
        <w:tc>
          <w:tcPr>
            <w:tcW w:w="1928" w:type="dxa"/>
          </w:tcPr>
          <w:p w:rsidR="005F5B3D" w:rsidRDefault="005F5B3D" w:rsidP="006E0575">
            <w:pPr>
              <w:rPr>
                <w:sz w:val="20"/>
              </w:rPr>
            </w:pPr>
          </w:p>
          <w:p w:rsidR="005F5B3D" w:rsidRPr="006E0575" w:rsidRDefault="00256F47" w:rsidP="00256F47">
            <w:pPr>
              <w:rPr>
                <w:sz w:val="20"/>
              </w:rPr>
            </w:pPr>
            <w:r>
              <w:rPr>
                <w:sz w:val="20"/>
              </w:rPr>
              <w:t>Sachbearbeiter</w:t>
            </w:r>
            <w:r w:rsidR="00DC2C57">
              <w:rPr>
                <w:sz w:val="20"/>
              </w:rPr>
              <w:t>/-in</w:t>
            </w:r>
            <w:bookmarkStart w:id="0" w:name="_GoBack"/>
            <w:bookmarkEnd w:id="0"/>
          </w:p>
        </w:tc>
        <w:tc>
          <w:tcPr>
            <w:tcW w:w="737" w:type="dxa"/>
            <w:shd w:val="pct12" w:color="auto" w:fill="FFFFFF"/>
          </w:tcPr>
          <w:p w:rsidR="005F5B3D" w:rsidRDefault="005F5B3D" w:rsidP="008C5AC8">
            <w:pPr>
              <w:jc w:val="center"/>
              <w:rPr>
                <w:sz w:val="20"/>
              </w:rPr>
            </w:pPr>
          </w:p>
          <w:p w:rsidR="005F5B3D" w:rsidRPr="006E0575" w:rsidRDefault="007645A0" w:rsidP="008C5AC8">
            <w:pPr>
              <w:jc w:val="center"/>
              <w:rPr>
                <w:sz w:val="20"/>
              </w:rPr>
            </w:pPr>
            <w:r>
              <w:rPr>
                <w:sz w:val="20"/>
              </w:rPr>
              <w:t>1</w:t>
            </w:r>
            <w:r w:rsidR="008C5AC8">
              <w:rPr>
                <w:sz w:val="20"/>
              </w:rPr>
              <w:t>,0</w:t>
            </w:r>
          </w:p>
        </w:tc>
        <w:tc>
          <w:tcPr>
            <w:tcW w:w="1134" w:type="dxa"/>
          </w:tcPr>
          <w:p w:rsidR="00066886" w:rsidRDefault="00066886" w:rsidP="008A6853">
            <w:pPr>
              <w:rPr>
                <w:sz w:val="20"/>
              </w:rPr>
            </w:pPr>
          </w:p>
          <w:p w:rsidR="008C5AC8" w:rsidRDefault="008C5AC8" w:rsidP="00066886">
            <w:pPr>
              <w:rPr>
                <w:sz w:val="20"/>
              </w:rPr>
            </w:pPr>
            <w:r>
              <w:rPr>
                <w:sz w:val="20"/>
              </w:rPr>
              <w:t>vgl.</w:t>
            </w:r>
          </w:p>
          <w:p w:rsidR="005F5B3D" w:rsidRDefault="008C5AC8" w:rsidP="00066886">
            <w:pPr>
              <w:rPr>
                <w:sz w:val="20"/>
              </w:rPr>
            </w:pPr>
            <w:r>
              <w:rPr>
                <w:sz w:val="20"/>
              </w:rPr>
              <w:t>Ziffer 4</w:t>
            </w:r>
          </w:p>
          <w:p w:rsidR="008C5AC8" w:rsidRPr="006E0575" w:rsidRDefault="008C5AC8" w:rsidP="00066886">
            <w:pPr>
              <w:rPr>
                <w:sz w:val="20"/>
              </w:rPr>
            </w:pPr>
          </w:p>
        </w:tc>
        <w:tc>
          <w:tcPr>
            <w:tcW w:w="1417" w:type="dxa"/>
          </w:tcPr>
          <w:p w:rsidR="008C5AC8" w:rsidRDefault="008C5AC8" w:rsidP="008C5AC8">
            <w:pPr>
              <w:jc w:val="center"/>
              <w:rPr>
                <w:sz w:val="20"/>
              </w:rPr>
            </w:pPr>
          </w:p>
          <w:p w:rsidR="005F5B3D" w:rsidRPr="006E0575" w:rsidRDefault="008C5AC8" w:rsidP="008C5AC8">
            <w:pPr>
              <w:jc w:val="center"/>
              <w:rPr>
                <w:sz w:val="20"/>
              </w:rPr>
            </w:pPr>
            <w:r>
              <w:rPr>
                <w:sz w:val="20"/>
              </w:rPr>
              <w:t>83.200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7645A0" w:rsidRPr="000A05B1" w:rsidRDefault="007645A0" w:rsidP="007645A0">
      <w:pPr>
        <w:rPr>
          <w:rFonts w:cs="Arial"/>
          <w:b/>
        </w:rPr>
      </w:pPr>
      <w:r w:rsidRPr="000A05B1">
        <w:rPr>
          <w:rFonts w:cs="Arial"/>
          <w:b/>
        </w:rPr>
        <w:t>Einrichtung eines Sachgebiets „Koordinierungsstelle Zensus“</w:t>
      </w:r>
    </w:p>
    <w:p w:rsidR="007645A0" w:rsidRDefault="007645A0" w:rsidP="007645A0">
      <w:pPr>
        <w:rPr>
          <w:rFonts w:cs="Arial"/>
        </w:rPr>
      </w:pPr>
      <w:r>
        <w:rPr>
          <w:rFonts w:cs="Arial"/>
        </w:rPr>
        <w:t xml:space="preserve">Die Koordinierungsstelle Zensus bereitet die Durchführung des 2021 bundesweit anstehenden Zensus vor. Mit dem Zensus werden die amtlichen Einwohnerzahlen in Deutschland neu festgestellt. Darüber hinaus sollen </w:t>
      </w:r>
      <w:r w:rsidRPr="00682F12">
        <w:rPr>
          <w:rFonts w:cs="Arial"/>
        </w:rPr>
        <w:t>verlässliche Daten zur Bevölkerung, zur</w:t>
      </w:r>
      <w:r>
        <w:rPr>
          <w:rFonts w:cs="Arial"/>
        </w:rPr>
        <w:t xml:space="preserve"> </w:t>
      </w:r>
      <w:r w:rsidRPr="00682F12">
        <w:rPr>
          <w:rFonts w:cs="Arial"/>
        </w:rPr>
        <w:t>Erwerbstätigkeit und zur Wohnsituation</w:t>
      </w:r>
      <w:r>
        <w:rPr>
          <w:rFonts w:cs="Arial"/>
        </w:rPr>
        <w:t xml:space="preserve"> als Grundlage für </w:t>
      </w:r>
      <w:r w:rsidRPr="00682F12">
        <w:rPr>
          <w:rFonts w:cs="Arial"/>
        </w:rPr>
        <w:t>politische, wirtschaftliche und</w:t>
      </w:r>
      <w:r>
        <w:rPr>
          <w:rFonts w:cs="Arial"/>
        </w:rPr>
        <w:t xml:space="preserve"> </w:t>
      </w:r>
      <w:r w:rsidRPr="00682F12">
        <w:rPr>
          <w:rFonts w:cs="Arial"/>
        </w:rPr>
        <w:t>gesellschaftliche Entscheidungen und Planungen</w:t>
      </w:r>
      <w:r>
        <w:rPr>
          <w:rFonts w:cs="Arial"/>
        </w:rPr>
        <w:t xml:space="preserve"> in </w:t>
      </w:r>
      <w:r w:rsidRPr="00682F12">
        <w:rPr>
          <w:rFonts w:cs="Arial"/>
        </w:rPr>
        <w:t>Bund, Länder</w:t>
      </w:r>
      <w:r>
        <w:rPr>
          <w:rFonts w:cs="Arial"/>
        </w:rPr>
        <w:t>n</w:t>
      </w:r>
      <w:r w:rsidRPr="00682F12">
        <w:rPr>
          <w:rFonts w:cs="Arial"/>
        </w:rPr>
        <w:t xml:space="preserve"> und Kommunen </w:t>
      </w:r>
      <w:r w:rsidR="00066886">
        <w:rPr>
          <w:rFonts w:cs="Arial"/>
        </w:rPr>
        <w:t>ermittelt werden.</w:t>
      </w:r>
      <w:r w:rsidR="00256F47">
        <w:rPr>
          <w:rFonts w:cs="Arial"/>
        </w:rPr>
        <w:t xml:space="preserve"> </w:t>
      </w:r>
      <w:r>
        <w:rPr>
          <w:rFonts w:cs="Arial"/>
        </w:rPr>
        <w:t xml:space="preserve">Für den Zensus 2021 haben die Vorbereitungen bereits begonnen. </w:t>
      </w:r>
      <w:r w:rsidR="00066886">
        <w:rPr>
          <w:rFonts w:cs="Arial"/>
        </w:rPr>
        <w:t>B</w:t>
      </w:r>
      <w:r>
        <w:rPr>
          <w:rFonts w:cs="Arial"/>
        </w:rPr>
        <w:t xml:space="preserve">ereits seit Sommer 2016 werden erste methodische Vorgehensweisen für den Zensus 2021 getestet. </w:t>
      </w:r>
    </w:p>
    <w:p w:rsidR="002910E8" w:rsidRDefault="002910E8" w:rsidP="007645A0">
      <w:pPr>
        <w:rPr>
          <w:rFonts w:cs="Arial"/>
        </w:rPr>
      </w:pPr>
    </w:p>
    <w:p w:rsidR="002910E8" w:rsidRDefault="002910E8" w:rsidP="007645A0">
      <w:pPr>
        <w:rPr>
          <w:rFonts w:cs="Arial"/>
        </w:rPr>
      </w:pPr>
      <w:r>
        <w:rPr>
          <w:rFonts w:cs="Arial"/>
        </w:rPr>
        <w:t xml:space="preserve">Aufgrund der Erfahrungen des letzten Zensus soll </w:t>
      </w:r>
      <w:r w:rsidR="008C5AC8">
        <w:rPr>
          <w:rFonts w:cs="Arial"/>
        </w:rPr>
        <w:t>die</w:t>
      </w:r>
      <w:r w:rsidR="00AC4AD9">
        <w:rPr>
          <w:rFonts w:cs="Arial"/>
        </w:rPr>
        <w:t xml:space="preserve"> </w:t>
      </w:r>
      <w:r>
        <w:rPr>
          <w:rFonts w:cs="Arial"/>
        </w:rPr>
        <w:t xml:space="preserve">Einbindung der Kommunen frühzeitig erfolgen. Das </w:t>
      </w:r>
      <w:r w:rsidR="00256F47">
        <w:rPr>
          <w:rFonts w:cs="Arial"/>
        </w:rPr>
        <w:t>Statistische Landesamt</w:t>
      </w:r>
      <w:r w:rsidR="0018147F">
        <w:rPr>
          <w:rFonts w:cs="Arial"/>
        </w:rPr>
        <w:t xml:space="preserve"> </w:t>
      </w:r>
      <w:r>
        <w:rPr>
          <w:rFonts w:cs="Arial"/>
        </w:rPr>
        <w:t xml:space="preserve">sieht </w:t>
      </w:r>
      <w:r w:rsidR="00AC4AD9">
        <w:rPr>
          <w:rFonts w:cs="Arial"/>
        </w:rPr>
        <w:t xml:space="preserve">eine Reihe konkreter Arbeiten ab 2018 vor. </w:t>
      </w:r>
      <w:r w:rsidR="0018147F">
        <w:rPr>
          <w:rFonts w:cs="Arial"/>
        </w:rPr>
        <w:t>Um die</w:t>
      </w:r>
      <w:r w:rsidR="00AC4AD9">
        <w:rPr>
          <w:rFonts w:cs="Arial"/>
        </w:rPr>
        <w:t xml:space="preserve"> </w:t>
      </w:r>
      <w:r w:rsidR="0018147F">
        <w:rPr>
          <w:rFonts w:cs="Arial"/>
        </w:rPr>
        <w:t xml:space="preserve">Möglichkeiten </w:t>
      </w:r>
      <w:r w:rsidR="00AC4AD9">
        <w:rPr>
          <w:rFonts w:cs="Arial"/>
        </w:rPr>
        <w:t xml:space="preserve">zur Geltendmachung kommunaler Interessen </w:t>
      </w:r>
      <w:r w:rsidR="0018147F">
        <w:rPr>
          <w:rFonts w:cs="Arial"/>
        </w:rPr>
        <w:t xml:space="preserve">zu nutzen und insbesondere schon im Gesetzgebungsverfahren auch hinsichtlich der Finanzierungsregelung Einfluss nehmen zu können, ist eine frühzeitige kompetente Mitarbeit spätestens ab Mitte 2018 </w:t>
      </w:r>
      <w:r w:rsidR="00AC4AD9">
        <w:rPr>
          <w:rFonts w:cs="Arial"/>
        </w:rPr>
        <w:t>erforder</w:t>
      </w:r>
      <w:r w:rsidR="0018147F">
        <w:rPr>
          <w:rFonts w:cs="Arial"/>
        </w:rPr>
        <w:t>lich. Diese impliziert auch eine Beteiligung an den Vorbereitungsgremien des Städtetags, die auf aufw</w:t>
      </w:r>
      <w:r w:rsidR="008C5AC8">
        <w:rPr>
          <w:rFonts w:cs="Arial"/>
        </w:rPr>
        <w:t>ä</w:t>
      </w:r>
      <w:r w:rsidR="0018147F">
        <w:rPr>
          <w:rFonts w:cs="Arial"/>
        </w:rPr>
        <w:t>ndige Zuarbeit aus der Praxis angewiesen sind.</w:t>
      </w:r>
      <w:r w:rsidR="00CC48FB">
        <w:rPr>
          <w:rFonts w:cs="Arial"/>
        </w:rPr>
        <w:t xml:space="preserve"> Ab 2019 wird voraussichtlich eine Erweiterung um eine </w:t>
      </w:r>
      <w:r w:rsidR="00256F47">
        <w:rPr>
          <w:rFonts w:cs="Arial"/>
        </w:rPr>
        <w:t xml:space="preserve">weitere </w:t>
      </w:r>
      <w:r w:rsidR="00CC48FB">
        <w:rPr>
          <w:rFonts w:cs="Arial"/>
        </w:rPr>
        <w:t>Stelle erforderlich.</w:t>
      </w:r>
    </w:p>
    <w:p w:rsidR="002910E8" w:rsidRDefault="002910E8" w:rsidP="007645A0">
      <w:pPr>
        <w:rPr>
          <w:rFonts w:cs="Arial"/>
        </w:rPr>
      </w:pPr>
    </w:p>
    <w:p w:rsidR="007645A0" w:rsidRDefault="007645A0" w:rsidP="007645A0">
      <w:pPr>
        <w:rPr>
          <w:rFonts w:cs="Arial"/>
        </w:rPr>
      </w:pPr>
      <w:r>
        <w:rPr>
          <w:rFonts w:cs="Arial"/>
        </w:rPr>
        <w:t xml:space="preserve">Ab 2020 soll </w:t>
      </w:r>
      <w:r w:rsidR="00256F47">
        <w:rPr>
          <w:rFonts w:cs="Arial"/>
        </w:rPr>
        <w:t xml:space="preserve">der Stelle </w:t>
      </w:r>
      <w:r>
        <w:rPr>
          <w:rFonts w:cs="Arial"/>
        </w:rPr>
        <w:t>die Leitung der kommunalen Erhebungsstelle sowie nach 2021 die Auswertung und Überprüfung der Zensusergebnisse sowie die Dokumentation der Arbeiten über</w:t>
      </w:r>
      <w:r w:rsidR="005F1D9C">
        <w:rPr>
          <w:rFonts w:cs="Arial"/>
        </w:rPr>
        <w:t>tragen</w:t>
      </w:r>
      <w:r>
        <w:rPr>
          <w:rFonts w:cs="Arial"/>
        </w:rPr>
        <w:t xml:space="preserve"> werden. </w:t>
      </w:r>
    </w:p>
    <w:p w:rsidR="003D7B0B" w:rsidRDefault="003D7B0B" w:rsidP="00884D6C">
      <w:pPr>
        <w:pStyle w:val="berschrift1"/>
      </w:pPr>
      <w:r>
        <w:t>2</w:t>
      </w:r>
      <w:r>
        <w:tab/>
        <w:t>Schaffun</w:t>
      </w:r>
      <w:r w:rsidRPr="00884D6C">
        <w:rPr>
          <w:u w:val="none"/>
        </w:rPr>
        <w:t>g</w:t>
      </w:r>
      <w:r>
        <w:t>skriterien</w:t>
      </w:r>
    </w:p>
    <w:p w:rsidR="008C5AC8" w:rsidRDefault="008C5AC8" w:rsidP="00884D6C"/>
    <w:p w:rsidR="003D7B0B" w:rsidRDefault="008C5AC8" w:rsidP="00884D6C">
      <w:r>
        <w:t>Es handelt sich um eine n</w:t>
      </w:r>
      <w:r w:rsidR="005F1D9C">
        <w:t>eue gesetzliche Aufgabe</w:t>
      </w:r>
      <w:r>
        <w:t>.</w:t>
      </w:r>
    </w:p>
    <w:p w:rsidR="003D7B0B" w:rsidRDefault="003D7B0B" w:rsidP="00884D6C">
      <w:pPr>
        <w:pStyle w:val="berschrift1"/>
      </w:pPr>
      <w:r>
        <w:lastRenderedPageBreak/>
        <w:t>3</w:t>
      </w:r>
      <w:r>
        <w:tab/>
        <w:t>Bedarf</w:t>
      </w:r>
    </w:p>
    <w:p w:rsidR="003D7B0B" w:rsidRPr="00884D6C" w:rsidRDefault="00884D6C" w:rsidP="00884D6C">
      <w:pPr>
        <w:pStyle w:val="berschrift2"/>
      </w:pPr>
      <w:r w:rsidRPr="00884D6C">
        <w:t>3.1</w:t>
      </w:r>
      <w:r w:rsidRPr="00884D6C">
        <w:tab/>
      </w:r>
      <w:r w:rsidR="006E0575" w:rsidRPr="00884D6C">
        <w:t>Anlass</w:t>
      </w:r>
    </w:p>
    <w:p w:rsidR="00A76B6A" w:rsidRPr="009B2EA7" w:rsidRDefault="00A76B6A" w:rsidP="00A76B6A">
      <w:pPr>
        <w:rPr>
          <w:rFonts w:cs="Arial"/>
          <w:szCs w:val="24"/>
        </w:rPr>
      </w:pPr>
      <w:r w:rsidRPr="009B2EA7">
        <w:rPr>
          <w:rFonts w:cs="Arial"/>
          <w:szCs w:val="24"/>
        </w:rPr>
        <w:t xml:space="preserve">Zu den anstehenden Aufgaben gehören </w:t>
      </w:r>
      <w:r w:rsidR="00256F47">
        <w:rPr>
          <w:rFonts w:cs="Arial"/>
          <w:szCs w:val="24"/>
        </w:rPr>
        <w:t>u. a.:</w:t>
      </w:r>
    </w:p>
    <w:p w:rsidR="00A76B6A" w:rsidRPr="00256F47" w:rsidRDefault="00A76B6A" w:rsidP="00256F47">
      <w:pPr>
        <w:pStyle w:val="Listenabsatz"/>
        <w:numPr>
          <w:ilvl w:val="0"/>
          <w:numId w:val="7"/>
        </w:numPr>
        <w:jc w:val="left"/>
        <w:rPr>
          <w:rFonts w:ascii="Arial" w:eastAsia="Times New Roman" w:hAnsi="Arial" w:cs="Arial"/>
          <w:sz w:val="24"/>
          <w:szCs w:val="20"/>
        </w:rPr>
      </w:pPr>
      <w:r w:rsidRPr="00256F47">
        <w:rPr>
          <w:rFonts w:ascii="Arial" w:eastAsia="Times New Roman" w:hAnsi="Arial" w:cs="Arial"/>
          <w:sz w:val="24"/>
          <w:szCs w:val="20"/>
        </w:rPr>
        <w:t xml:space="preserve">die fachliche Begleitung der Methodenentwicklung beim Zensus 2021, insbesondere auch hinsichtlich der Praxistauglichkeit aus kommunaler Sicht, </w:t>
      </w:r>
    </w:p>
    <w:p w:rsidR="00A76B6A" w:rsidRPr="00256F47" w:rsidRDefault="00A76B6A" w:rsidP="00256F47">
      <w:pPr>
        <w:pStyle w:val="Listenabsatz"/>
        <w:numPr>
          <w:ilvl w:val="0"/>
          <w:numId w:val="7"/>
        </w:numPr>
        <w:jc w:val="left"/>
        <w:rPr>
          <w:rFonts w:ascii="Arial" w:eastAsia="Times New Roman" w:hAnsi="Arial" w:cs="Arial"/>
          <w:sz w:val="24"/>
          <w:szCs w:val="20"/>
        </w:rPr>
      </w:pPr>
      <w:r w:rsidRPr="00256F47">
        <w:rPr>
          <w:rFonts w:ascii="Arial" w:eastAsia="Times New Roman" w:hAnsi="Arial" w:cs="Arial"/>
          <w:sz w:val="24"/>
          <w:szCs w:val="20"/>
        </w:rPr>
        <w:t>die Begleitung beim Aufbau eines anschriftenbezogenen Steuerungsregisters durch das Statistische Bundesamt und die Statistischen Landesämter, welches als zentrales Steuerungsinstrument für alle Zensusteile und als Auswahlgrundlage für die Stichprobe zur Befragung der Haushalte im Zensus dient,</w:t>
      </w:r>
    </w:p>
    <w:p w:rsidR="00A76B6A" w:rsidRPr="00256F47" w:rsidRDefault="00A76B6A" w:rsidP="00256F47">
      <w:pPr>
        <w:pStyle w:val="Listenabsatz"/>
        <w:numPr>
          <w:ilvl w:val="0"/>
          <w:numId w:val="7"/>
        </w:numPr>
        <w:jc w:val="left"/>
        <w:rPr>
          <w:rFonts w:ascii="Arial" w:eastAsia="Times New Roman" w:hAnsi="Arial" w:cs="Arial"/>
          <w:sz w:val="24"/>
          <w:szCs w:val="20"/>
        </w:rPr>
      </w:pPr>
      <w:r w:rsidRPr="00256F47">
        <w:rPr>
          <w:rFonts w:ascii="Arial" w:eastAsia="Times New Roman" w:hAnsi="Arial" w:cs="Arial"/>
          <w:sz w:val="24"/>
          <w:szCs w:val="20"/>
        </w:rPr>
        <w:t>die Qualitätssicherung des kommunalen Adressdatenbestands durch Abgleich mit anderen Adressbeständen mit dem Ziel, möglichst passgenaue Adressdaten an die Statistischen Landesämter zu liefern, was die späteren Erhebungen deutlich vereinfachen wird,</w:t>
      </w:r>
    </w:p>
    <w:p w:rsidR="00A76B6A" w:rsidRPr="00256F47" w:rsidRDefault="00A76B6A" w:rsidP="00256F47">
      <w:pPr>
        <w:pStyle w:val="Listenabsatz"/>
        <w:numPr>
          <w:ilvl w:val="0"/>
          <w:numId w:val="7"/>
        </w:numPr>
        <w:jc w:val="left"/>
        <w:rPr>
          <w:rFonts w:ascii="Arial" w:eastAsia="Times New Roman" w:hAnsi="Arial" w:cs="Arial"/>
          <w:sz w:val="24"/>
          <w:szCs w:val="20"/>
        </w:rPr>
      </w:pPr>
      <w:r w:rsidRPr="00256F47">
        <w:rPr>
          <w:rFonts w:ascii="Arial" w:eastAsia="Times New Roman" w:hAnsi="Arial" w:cs="Arial"/>
          <w:sz w:val="24"/>
          <w:szCs w:val="20"/>
        </w:rPr>
        <w:t>die Ertüchtigung des Melderegisters sowie die Erprobung von Datenübergaben an das Statistische Landesamt,</w:t>
      </w:r>
    </w:p>
    <w:p w:rsidR="00A76B6A" w:rsidRPr="00256F47" w:rsidRDefault="00A76B6A" w:rsidP="00256F47">
      <w:pPr>
        <w:pStyle w:val="Listenabsatz"/>
        <w:numPr>
          <w:ilvl w:val="0"/>
          <w:numId w:val="7"/>
        </w:numPr>
        <w:jc w:val="left"/>
        <w:rPr>
          <w:rFonts w:ascii="Arial" w:eastAsia="Times New Roman" w:hAnsi="Arial" w:cs="Arial"/>
          <w:sz w:val="24"/>
          <w:szCs w:val="20"/>
        </w:rPr>
      </w:pPr>
      <w:r w:rsidRPr="00256F47">
        <w:rPr>
          <w:rFonts w:ascii="Arial" w:eastAsia="Times New Roman" w:hAnsi="Arial" w:cs="Arial"/>
          <w:sz w:val="24"/>
          <w:szCs w:val="20"/>
        </w:rPr>
        <w:t xml:space="preserve">die Erledigung der bereits im Vorfeld des Zensus anstehenden Datenlieferungen und Anfragen, beispielsweise durch das Statistische Landesamt, </w:t>
      </w:r>
    </w:p>
    <w:p w:rsidR="00A76B6A" w:rsidRPr="00256F47" w:rsidRDefault="00A76B6A" w:rsidP="00256F47">
      <w:pPr>
        <w:pStyle w:val="Listenabsatz"/>
        <w:numPr>
          <w:ilvl w:val="0"/>
          <w:numId w:val="7"/>
        </w:numPr>
        <w:jc w:val="left"/>
        <w:rPr>
          <w:rFonts w:ascii="Arial" w:eastAsia="Times New Roman" w:hAnsi="Arial" w:cs="Arial"/>
          <w:sz w:val="24"/>
          <w:szCs w:val="20"/>
        </w:rPr>
      </w:pPr>
      <w:r w:rsidRPr="00256F47">
        <w:rPr>
          <w:rFonts w:ascii="Arial" w:eastAsia="Times New Roman" w:hAnsi="Arial" w:cs="Arial"/>
          <w:sz w:val="24"/>
          <w:szCs w:val="20"/>
        </w:rPr>
        <w:t>der Aufbau der kommunalen Erhebungsstelle inklusive der personellen, räuml</w:t>
      </w:r>
      <w:r w:rsidR="00256F47">
        <w:rPr>
          <w:rFonts w:ascii="Arial" w:eastAsia="Times New Roman" w:hAnsi="Arial" w:cs="Arial"/>
          <w:sz w:val="24"/>
          <w:szCs w:val="20"/>
        </w:rPr>
        <w:t xml:space="preserve">ichen und finanziellen Planung </w:t>
      </w:r>
      <w:r w:rsidRPr="00256F47">
        <w:rPr>
          <w:rFonts w:ascii="Arial" w:eastAsia="Times New Roman" w:hAnsi="Arial" w:cs="Arial"/>
          <w:sz w:val="24"/>
          <w:szCs w:val="20"/>
        </w:rPr>
        <w:t xml:space="preserve">sowie </w:t>
      </w:r>
    </w:p>
    <w:p w:rsidR="00A76B6A" w:rsidRDefault="00A76B6A" w:rsidP="00256F47">
      <w:pPr>
        <w:pStyle w:val="Listenabsatz"/>
        <w:numPr>
          <w:ilvl w:val="0"/>
          <w:numId w:val="7"/>
        </w:numPr>
        <w:jc w:val="left"/>
        <w:rPr>
          <w:rFonts w:ascii="Arial" w:eastAsia="Times New Roman" w:hAnsi="Arial" w:cs="Arial"/>
          <w:sz w:val="24"/>
          <w:szCs w:val="20"/>
        </w:rPr>
      </w:pPr>
      <w:r w:rsidRPr="00256F47">
        <w:rPr>
          <w:rFonts w:ascii="Arial" w:eastAsia="Times New Roman" w:hAnsi="Arial" w:cs="Arial"/>
          <w:sz w:val="24"/>
          <w:szCs w:val="20"/>
        </w:rPr>
        <w:t>der Austausch mit anderen Kommunen und dem baden-württembergischen Städtetag mit dem Ziel, gemeinsame Positionen zu erarbeiten, die sich gegenüber der Landes- und Bundesebene mit höherem Nachdruck vertreten lassen</w:t>
      </w:r>
      <w:r w:rsidR="00A91ED6" w:rsidRPr="00256F47">
        <w:rPr>
          <w:rFonts w:ascii="Arial" w:eastAsia="Times New Roman" w:hAnsi="Arial" w:cs="Arial"/>
          <w:sz w:val="24"/>
          <w:szCs w:val="20"/>
        </w:rPr>
        <w:t xml:space="preserve"> (u. a. Kostenerstattungsregelungen)</w:t>
      </w:r>
      <w:r w:rsidRPr="00256F47">
        <w:rPr>
          <w:rFonts w:ascii="Arial" w:eastAsia="Times New Roman" w:hAnsi="Arial" w:cs="Arial"/>
          <w:sz w:val="24"/>
          <w:szCs w:val="20"/>
        </w:rPr>
        <w:t>.</w:t>
      </w:r>
    </w:p>
    <w:p w:rsidR="00256F47" w:rsidRPr="00256F47" w:rsidRDefault="00256F47" w:rsidP="00256F47">
      <w:pPr>
        <w:pStyle w:val="Listenabsatz"/>
        <w:ind w:left="360"/>
        <w:jc w:val="left"/>
        <w:rPr>
          <w:rFonts w:ascii="Arial" w:eastAsia="Times New Roman" w:hAnsi="Arial" w:cs="Arial"/>
          <w:sz w:val="24"/>
          <w:szCs w:val="20"/>
        </w:rPr>
      </w:pPr>
    </w:p>
    <w:p w:rsidR="003D7B0B" w:rsidRPr="00165C0D" w:rsidRDefault="003D7B0B" w:rsidP="00165C0D">
      <w:pPr>
        <w:pStyle w:val="berschrift2"/>
      </w:pPr>
      <w:r w:rsidRPr="00165C0D">
        <w:t>3.2</w:t>
      </w:r>
      <w:r w:rsidRPr="00165C0D">
        <w:tab/>
        <w:t>Bisherige Aufgabenwahrnehmung</w:t>
      </w:r>
    </w:p>
    <w:p w:rsidR="00793FA7" w:rsidRPr="00793FA7" w:rsidRDefault="008C5AC8" w:rsidP="00793FA7">
      <w:pPr>
        <w:rPr>
          <w:rFonts w:cs="Arial"/>
        </w:rPr>
      </w:pPr>
      <w:r>
        <w:rPr>
          <w:rFonts w:cs="Arial"/>
        </w:rPr>
        <w:t>Auch i</w:t>
      </w:r>
      <w:r w:rsidR="00793FA7" w:rsidRPr="00793FA7">
        <w:rPr>
          <w:rFonts w:cs="Arial"/>
        </w:rPr>
        <w:t>m Vorfeld des Zensus 2011 hatte das Statistische Amt ein Sachgebiet zur Vorbereitung des Zensus eingerichtet. Die hiermit gemachten Erfahrungen waren sehr gut, die gründliche Vorbereitung und Koordinierung des Zensus hat wesentlich zu dessen erfolgreicher Durchführung in seiner Funktion als Grundlage für den kommunalen Finanzausgleich beigetragen und auch bewirkt, dass es zu einer für die Stadt ausgesprochen positiven Finanzierungsregelung hinsichtlich der Durchführungskosten (Kostenerstattung) durch das Land kam.</w:t>
      </w:r>
    </w:p>
    <w:p w:rsidR="003D7B0B" w:rsidRPr="00793FA7" w:rsidRDefault="003D7B0B" w:rsidP="00884D6C"/>
    <w:p w:rsidR="003D7B0B" w:rsidRPr="00793FA7" w:rsidRDefault="006E0575" w:rsidP="00884D6C">
      <w:pPr>
        <w:pStyle w:val="berschrift2"/>
      </w:pPr>
      <w:r w:rsidRPr="00793FA7">
        <w:t>3.3</w:t>
      </w:r>
      <w:r w:rsidR="003D7B0B" w:rsidRPr="00793FA7">
        <w:tab/>
        <w:t>Auswirkungen bei Ablehnung der Stellenschaffungen</w:t>
      </w:r>
    </w:p>
    <w:p w:rsidR="00793FA7" w:rsidRDefault="00793FA7" w:rsidP="00793FA7">
      <w:r w:rsidRPr="00793FA7">
        <w:t xml:space="preserve">Die durch Bundes- und Landesgesetz geregelte Aufgabe kann nicht erfüllt werden. Bei nicht rechtzeitiger Schaffung weniger Einfluss auf die kommunalrelevanten Regelungen bei der Zensusgesetzgebung, insbesondere die Finanzierungsregelungen. Eine rechtskonforme Aufgabenerledigung unter Ausschöpfung der Spielräume für die Ermittlung der amtlichen Einwohnerzahl der Landeshauptstadt ist ohne </w:t>
      </w:r>
      <w:r>
        <w:t>Mitwirkung in der Vorbereitungsphase nicht möglich.</w:t>
      </w:r>
    </w:p>
    <w:p w:rsidR="008C5AC8" w:rsidRDefault="008C5AC8">
      <w:pPr>
        <w:rPr>
          <w:b/>
          <w:u w:val="single"/>
        </w:rPr>
      </w:pPr>
      <w:r>
        <w:br w:type="page"/>
      </w:r>
    </w:p>
    <w:p w:rsidR="003D7B0B" w:rsidRDefault="00884D6C" w:rsidP="00884D6C">
      <w:pPr>
        <w:pStyle w:val="berschrift1"/>
      </w:pPr>
      <w:r>
        <w:lastRenderedPageBreak/>
        <w:t>4</w:t>
      </w:r>
      <w:r>
        <w:tab/>
      </w:r>
      <w:r w:rsidR="003D7B0B">
        <w:t>Stellenvermerke</w:t>
      </w:r>
    </w:p>
    <w:p w:rsidR="003D7B0B" w:rsidRDefault="003D7B0B" w:rsidP="00884D6C"/>
    <w:p w:rsidR="00256F47" w:rsidRDefault="00256F47" w:rsidP="00256F47">
      <w:r>
        <w:t>KW 01/2024</w:t>
      </w:r>
    </w:p>
    <w:p w:rsidR="006E0575" w:rsidRDefault="00E66F8A" w:rsidP="00884D6C">
      <w:r>
        <w:t>Die Stelle kann frühestens ab</w:t>
      </w:r>
      <w:r w:rsidR="00A76B6A">
        <w:t xml:space="preserve"> </w:t>
      </w:r>
      <w:r w:rsidR="008C5AC8">
        <w:t>01.07.</w:t>
      </w:r>
      <w:r w:rsidR="00A76B6A">
        <w:t>2018</w:t>
      </w:r>
      <w:r>
        <w:t xml:space="preserve"> besetzt werden.</w:t>
      </w:r>
    </w:p>
    <w:p w:rsidR="00256F47" w:rsidRDefault="00256F47"/>
    <w:sectPr w:rsidR="00256F47"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8FB" w:rsidRDefault="00CC48FB">
      <w:r>
        <w:separator/>
      </w:r>
    </w:p>
  </w:endnote>
  <w:endnote w:type="continuationSeparator" w:id="0">
    <w:p w:rsidR="00CC48FB" w:rsidRDefault="00CC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8FB" w:rsidRDefault="00CC48FB">
      <w:r>
        <w:separator/>
      </w:r>
    </w:p>
  </w:footnote>
  <w:footnote w:type="continuationSeparator" w:id="0">
    <w:p w:rsidR="00CC48FB" w:rsidRDefault="00CC4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FB" w:rsidRDefault="00CC48FB">
    <w:pPr>
      <w:framePr w:wrap="around" w:vAnchor="page" w:hAnchor="page" w:xAlign="center" w:y="710"/>
      <w:rPr>
        <w:rStyle w:val="Seitenzahl"/>
      </w:rPr>
    </w:pPr>
    <w:r>
      <w:rPr>
        <w:rStyle w:val="Seitenzahl"/>
      </w:rPr>
      <w:t xml:space="preserve">- </w:t>
    </w:r>
    <w:r w:rsidR="00957282">
      <w:rPr>
        <w:rStyle w:val="Seitenzahl"/>
      </w:rPr>
      <w:fldChar w:fldCharType="begin"/>
    </w:r>
    <w:r>
      <w:rPr>
        <w:rStyle w:val="Seitenzahl"/>
      </w:rPr>
      <w:instrText xml:space="preserve"> PAGE </w:instrText>
    </w:r>
    <w:r w:rsidR="00957282">
      <w:rPr>
        <w:rStyle w:val="Seitenzahl"/>
      </w:rPr>
      <w:fldChar w:fldCharType="separate"/>
    </w:r>
    <w:r w:rsidR="00DC2C57">
      <w:rPr>
        <w:rStyle w:val="Seitenzahl"/>
        <w:noProof/>
      </w:rPr>
      <w:t>2</w:t>
    </w:r>
    <w:r w:rsidR="00957282">
      <w:rPr>
        <w:rStyle w:val="Seitenzahl"/>
      </w:rPr>
      <w:fldChar w:fldCharType="end"/>
    </w:r>
    <w:r>
      <w:rPr>
        <w:rStyle w:val="Seitenzahl"/>
      </w:rPr>
      <w:t xml:space="preserve"> -</w:t>
    </w:r>
  </w:p>
  <w:p w:rsidR="00CC48FB" w:rsidRDefault="00CC48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2C6A27A6"/>
    <w:multiLevelType w:val="hybridMultilevel"/>
    <w:tmpl w:val="ABAEE46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5" w15:restartNumberingAfterBreak="0">
    <w:nsid w:val="6CBE7EAF"/>
    <w:multiLevelType w:val="hybridMultilevel"/>
    <w:tmpl w:val="A9BC0D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EF"/>
    <w:rsid w:val="00066886"/>
    <w:rsid w:val="000A05B1"/>
    <w:rsid w:val="000A1146"/>
    <w:rsid w:val="0011112B"/>
    <w:rsid w:val="0014415D"/>
    <w:rsid w:val="00163034"/>
    <w:rsid w:val="00165C0D"/>
    <w:rsid w:val="0018147F"/>
    <w:rsid w:val="00181857"/>
    <w:rsid w:val="00184EDC"/>
    <w:rsid w:val="00194770"/>
    <w:rsid w:val="001A5F9B"/>
    <w:rsid w:val="001F7237"/>
    <w:rsid w:val="00256F47"/>
    <w:rsid w:val="002779E3"/>
    <w:rsid w:val="002910E8"/>
    <w:rsid w:val="002924CB"/>
    <w:rsid w:val="002A20D1"/>
    <w:rsid w:val="002B5955"/>
    <w:rsid w:val="002E48F4"/>
    <w:rsid w:val="00341F1E"/>
    <w:rsid w:val="00380937"/>
    <w:rsid w:val="003D7B0B"/>
    <w:rsid w:val="00470135"/>
    <w:rsid w:val="0047606A"/>
    <w:rsid w:val="004908B5"/>
    <w:rsid w:val="0049121B"/>
    <w:rsid w:val="004A1688"/>
    <w:rsid w:val="004B6796"/>
    <w:rsid w:val="005A0A9D"/>
    <w:rsid w:val="005A56AA"/>
    <w:rsid w:val="005E19C6"/>
    <w:rsid w:val="005F1D9C"/>
    <w:rsid w:val="005F5B3D"/>
    <w:rsid w:val="00606F80"/>
    <w:rsid w:val="006A7700"/>
    <w:rsid w:val="006B6D50"/>
    <w:rsid w:val="006D2903"/>
    <w:rsid w:val="006E0575"/>
    <w:rsid w:val="00754659"/>
    <w:rsid w:val="007645A0"/>
    <w:rsid w:val="00793FA7"/>
    <w:rsid w:val="007A29E4"/>
    <w:rsid w:val="007E3B79"/>
    <w:rsid w:val="008066EE"/>
    <w:rsid w:val="00817BB6"/>
    <w:rsid w:val="00884D6C"/>
    <w:rsid w:val="008A6853"/>
    <w:rsid w:val="008C5AC8"/>
    <w:rsid w:val="00906404"/>
    <w:rsid w:val="009157EF"/>
    <w:rsid w:val="00957282"/>
    <w:rsid w:val="009660C4"/>
    <w:rsid w:val="00976588"/>
    <w:rsid w:val="009B2EA7"/>
    <w:rsid w:val="00A27CA7"/>
    <w:rsid w:val="00A71D0A"/>
    <w:rsid w:val="00A76B6A"/>
    <w:rsid w:val="00A77F1E"/>
    <w:rsid w:val="00A91ED6"/>
    <w:rsid w:val="00AA3AD8"/>
    <w:rsid w:val="00AC4AD9"/>
    <w:rsid w:val="00B04290"/>
    <w:rsid w:val="00B11187"/>
    <w:rsid w:val="00B67252"/>
    <w:rsid w:val="00B80DEF"/>
    <w:rsid w:val="00BC4669"/>
    <w:rsid w:val="00BF2B95"/>
    <w:rsid w:val="00C16EF1"/>
    <w:rsid w:val="00C220FB"/>
    <w:rsid w:val="00C448D3"/>
    <w:rsid w:val="00C7765D"/>
    <w:rsid w:val="00CC48FB"/>
    <w:rsid w:val="00D461B9"/>
    <w:rsid w:val="00DB3D6C"/>
    <w:rsid w:val="00DC2C57"/>
    <w:rsid w:val="00E014B6"/>
    <w:rsid w:val="00E1162F"/>
    <w:rsid w:val="00E11D5F"/>
    <w:rsid w:val="00E16362"/>
    <w:rsid w:val="00E20E1F"/>
    <w:rsid w:val="00E628CA"/>
    <w:rsid w:val="00E66F8A"/>
    <w:rsid w:val="00E7118F"/>
    <w:rsid w:val="00F27657"/>
    <w:rsid w:val="00F342DC"/>
    <w:rsid w:val="00F63041"/>
    <w:rsid w:val="00F76452"/>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6B2F5"/>
  <w15:docId w15:val="{D0CAC30F-9138-4F6B-8B68-D1D56D7F5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0575"/>
    <w:rPr>
      <w:rFonts w:ascii="Arial" w:hAnsi="Arial"/>
      <w:sz w:val="24"/>
    </w:rPr>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C220FB"/>
    <w:pPr>
      <w:keepNext/>
      <w:spacing w:before="240" w:after="60"/>
      <w:outlineLvl w:val="2"/>
    </w:pPr>
    <w:rPr>
      <w:b/>
    </w:rPr>
  </w:style>
  <w:style w:type="paragraph" w:styleId="berschrift4">
    <w:name w:val="heading 4"/>
    <w:basedOn w:val="Standard"/>
    <w:next w:val="Standard"/>
    <w:qFormat/>
    <w:rsid w:val="00C220FB"/>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C220FB"/>
    <w:rPr>
      <w:sz w:val="16"/>
    </w:rPr>
  </w:style>
  <w:style w:type="paragraph" w:styleId="Kommentartext">
    <w:name w:val="annotation text"/>
    <w:basedOn w:val="Standard"/>
    <w:semiHidden/>
    <w:rsid w:val="00C220FB"/>
    <w:rPr>
      <w:sz w:val="20"/>
    </w:rPr>
  </w:style>
  <w:style w:type="paragraph" w:styleId="Fuzeile">
    <w:name w:val="footer"/>
    <w:basedOn w:val="Standard"/>
    <w:rsid w:val="00C220FB"/>
    <w:pPr>
      <w:tabs>
        <w:tab w:val="center" w:pos="4819"/>
        <w:tab w:val="right" w:pos="9071"/>
      </w:tabs>
    </w:pPr>
  </w:style>
  <w:style w:type="paragraph" w:styleId="Kopfzeile">
    <w:name w:val="header"/>
    <w:basedOn w:val="Standard"/>
    <w:rsid w:val="00C220FB"/>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7645A0"/>
    <w:pPr>
      <w:spacing w:after="200" w:line="276" w:lineRule="auto"/>
      <w:ind w:left="720"/>
      <w:contextualSpacing/>
      <w:jc w:val="both"/>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7A540E9E.dotm</Template>
  <TotalTime>0</TotalTime>
  <Pages>3</Pages>
  <Words>548</Words>
  <Characters>3924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Stellenschaffung zum Stellenplan</vt:lpstr>
    </vt:vector>
  </TitlesOfParts>
  <Company>LHS</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Stellenschaffung zum Stellenplan</dc:title>
  <dc:subject>Musterformular für das Stellenplanverfahren 2012/2013</dc:subject>
  <dc:creator>10-3</dc:creator>
  <cp:keywords/>
  <dc:description/>
  <cp:lastModifiedBy>U103007</cp:lastModifiedBy>
  <cp:revision>5</cp:revision>
  <cp:lastPrinted>2017-09-13T08:20:00Z</cp:lastPrinted>
  <dcterms:created xsi:type="dcterms:W3CDTF">2017-08-24T11:23:00Z</dcterms:created>
  <dcterms:modified xsi:type="dcterms:W3CDTF">2017-09-13T08:21:00Z</dcterms:modified>
</cp:coreProperties>
</file>