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6AEC83AE" w14:textId="64CCF4A1" w:rsidR="003D7B0B" w:rsidRDefault="003D7B0B" w:rsidP="00397717">
      <w:pPr>
        <w:jc w:val="right"/>
      </w:pPr>
      <w:r w:rsidRPr="006E0575">
        <w:t xml:space="preserve">Anlage </w:t>
      </w:r>
      <w:r w:rsidR="00F55162">
        <w:t>3</w:t>
      </w:r>
      <w:r w:rsidR="003165B1">
        <w:t>7</w:t>
      </w:r>
      <w:r w:rsidRPr="006E0575">
        <w:t xml:space="preserve"> zur GRDrs </w:t>
      </w:r>
      <w:r w:rsidR="003165B1">
        <w:t>705</w:t>
      </w:r>
      <w:r w:rsidR="005F5B3D">
        <w:t>/20</w:t>
      </w:r>
      <w:r w:rsidR="00AE7B02">
        <w:t>21</w:t>
      </w:r>
    </w:p>
    <w:p w14:paraId="65241663" w14:textId="592406B7" w:rsidR="00F55162" w:rsidRPr="006E0575" w:rsidRDefault="00F55162" w:rsidP="00397717">
      <w:pPr>
        <w:jc w:val="right"/>
      </w:pPr>
      <w:r>
        <w:t>1. Ergänzung</w:t>
      </w:r>
    </w:p>
    <w:p w14:paraId="0E84A8EB" w14:textId="77777777" w:rsidR="003D7B0B" w:rsidRPr="006E0575" w:rsidRDefault="003D7B0B" w:rsidP="006E0575"/>
    <w:p w14:paraId="1250F8D8" w14:textId="77777777" w:rsidR="003D7B0B" w:rsidRPr="006E0575" w:rsidRDefault="003D7B0B" w:rsidP="006E0575"/>
    <w:p w14:paraId="47673628" w14:textId="77777777" w:rsidR="00184EDC" w:rsidRDefault="003D7B0B" w:rsidP="00397717">
      <w:pPr>
        <w:jc w:val="center"/>
        <w:rPr>
          <w:b/>
          <w:sz w:val="36"/>
        </w:rPr>
      </w:pPr>
      <w:r>
        <w:rPr>
          <w:b/>
          <w:sz w:val="36"/>
          <w:u w:val="single"/>
        </w:rPr>
        <w:t>Stellenschaffun</w:t>
      </w:r>
      <w:r w:rsidRPr="00AB389D">
        <w:rPr>
          <w:b/>
          <w:sz w:val="36"/>
        </w:rPr>
        <w:t>g</w:t>
      </w:r>
    </w:p>
    <w:p w14:paraId="5D958581" w14:textId="77777777" w:rsidR="003D7B0B" w:rsidRPr="00E42F96" w:rsidRDefault="00184EDC" w:rsidP="00397717">
      <w:pPr>
        <w:jc w:val="center"/>
        <w:rPr>
          <w:b/>
          <w:sz w:val="36"/>
          <w:szCs w:val="36"/>
          <w:u w:val="single"/>
        </w:rPr>
      </w:pPr>
      <w:r w:rsidRPr="00E42F96">
        <w:rPr>
          <w:b/>
          <w:sz w:val="36"/>
          <w:szCs w:val="36"/>
          <w:u w:val="single"/>
        </w:rPr>
        <w:t>zum Stellenplan 20</w:t>
      </w:r>
      <w:r w:rsidR="00DE362D">
        <w:rPr>
          <w:b/>
          <w:sz w:val="36"/>
          <w:szCs w:val="36"/>
          <w:u w:val="single"/>
        </w:rPr>
        <w:t>2</w:t>
      </w:r>
      <w:r w:rsidR="00771F4C">
        <w:rPr>
          <w:b/>
          <w:sz w:val="36"/>
          <w:szCs w:val="36"/>
          <w:u w:val="single"/>
        </w:rPr>
        <w:t>2</w:t>
      </w:r>
    </w:p>
    <w:p w14:paraId="4C2F920F" w14:textId="77777777" w:rsidR="003D7B0B" w:rsidRDefault="003D7B0B" w:rsidP="006E0575">
      <w:pPr>
        <w:rPr>
          <w:u w:val="single"/>
        </w:rPr>
      </w:pPr>
    </w:p>
    <w:p w14:paraId="58032E60" w14:textId="77777777" w:rsidR="00DE362D" w:rsidRPr="00E42F96" w:rsidRDefault="00DE362D" w:rsidP="006E0575">
      <w:pPr>
        <w:rPr>
          <w:u w:val="single"/>
        </w:rPr>
      </w:pPr>
    </w:p>
    <w:tbl>
      <w:tblPr>
        <w:tblW w:w="9525" w:type="dxa"/>
        <w:tblInd w:w="-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000" w:firstRow="0" w:lastRow="0" w:firstColumn="0" w:lastColumn="0" w:noHBand="0" w:noVBand="0"/>
      </w:tblPr>
      <w:tblGrid>
        <w:gridCol w:w="1814"/>
        <w:gridCol w:w="1701"/>
        <w:gridCol w:w="794"/>
        <w:gridCol w:w="1928"/>
        <w:gridCol w:w="737"/>
        <w:gridCol w:w="1134"/>
        <w:gridCol w:w="1417"/>
      </w:tblGrid>
      <w:tr w:rsidR="005F5B3D" w:rsidRPr="006E0575" w14:paraId="71F98E27" w14:textId="77777777" w:rsidTr="008A2B8B">
        <w:trPr>
          <w:cantSplit/>
          <w:tblHeader/>
        </w:trPr>
        <w:tc>
          <w:tcPr>
            <w:tcW w:w="1814" w:type="dxa"/>
            <w:shd w:val="pct12" w:color="auto" w:fill="FFFFFF"/>
          </w:tcPr>
          <w:p w14:paraId="0D170C6B" w14:textId="77777777" w:rsidR="00DE362D" w:rsidRDefault="005F5B3D" w:rsidP="0030686C">
            <w:pPr>
              <w:spacing w:before="120" w:after="120" w:line="200" w:lineRule="exact"/>
              <w:ind w:right="-85"/>
              <w:rPr>
                <w:sz w:val="16"/>
                <w:szCs w:val="16"/>
              </w:rPr>
            </w:pPr>
            <w:r w:rsidRPr="006E0575">
              <w:rPr>
                <w:sz w:val="16"/>
                <w:szCs w:val="16"/>
              </w:rPr>
              <w:t>Org.</w:t>
            </w:r>
            <w:r>
              <w:rPr>
                <w:sz w:val="16"/>
                <w:szCs w:val="16"/>
              </w:rPr>
              <w:t>-E</w:t>
            </w:r>
            <w:r w:rsidRPr="006E0575">
              <w:rPr>
                <w:sz w:val="16"/>
                <w:szCs w:val="16"/>
              </w:rPr>
              <w:t>inheit</w:t>
            </w:r>
            <w:r w:rsidR="00380937">
              <w:rPr>
                <w:sz w:val="16"/>
                <w:szCs w:val="16"/>
              </w:rPr>
              <w:t>,</w:t>
            </w:r>
          </w:p>
          <w:p w14:paraId="48441BCB" w14:textId="77777777" w:rsidR="005F5B3D" w:rsidRPr="006E0575" w:rsidRDefault="005F5B3D" w:rsidP="0030686C">
            <w:pPr>
              <w:spacing w:before="120" w:after="120" w:line="200" w:lineRule="exact"/>
              <w:ind w:right="-85"/>
              <w:rPr>
                <w:sz w:val="16"/>
                <w:szCs w:val="16"/>
              </w:rPr>
            </w:pPr>
            <w:r>
              <w:rPr>
                <w:sz w:val="16"/>
                <w:szCs w:val="16"/>
              </w:rPr>
              <w:t>Kostenstelle</w:t>
            </w:r>
          </w:p>
        </w:tc>
        <w:tc>
          <w:tcPr>
            <w:tcW w:w="1701" w:type="dxa"/>
            <w:shd w:val="pct12" w:color="auto" w:fill="FFFFFF"/>
          </w:tcPr>
          <w:p w14:paraId="77EB1A0D" w14:textId="77777777" w:rsidR="005F5B3D" w:rsidRPr="006E0575" w:rsidRDefault="005F5B3D" w:rsidP="0030686C">
            <w:pPr>
              <w:spacing w:before="120" w:after="120" w:line="200" w:lineRule="exact"/>
              <w:ind w:right="-85"/>
              <w:rPr>
                <w:sz w:val="16"/>
                <w:szCs w:val="16"/>
              </w:rPr>
            </w:pPr>
            <w:r w:rsidRPr="006E0575">
              <w:rPr>
                <w:sz w:val="16"/>
                <w:szCs w:val="16"/>
              </w:rPr>
              <w:t>Amt</w:t>
            </w:r>
          </w:p>
        </w:tc>
        <w:tc>
          <w:tcPr>
            <w:tcW w:w="794" w:type="dxa"/>
            <w:shd w:val="pct12" w:color="auto" w:fill="FFFFFF"/>
          </w:tcPr>
          <w:p w14:paraId="115366BA" w14:textId="77777777" w:rsidR="00DE362D" w:rsidRDefault="00606F80" w:rsidP="0030686C">
            <w:pPr>
              <w:spacing w:before="120" w:after="120" w:line="200" w:lineRule="exact"/>
              <w:ind w:right="-85"/>
              <w:rPr>
                <w:sz w:val="16"/>
                <w:szCs w:val="16"/>
              </w:rPr>
            </w:pPr>
            <w:r>
              <w:rPr>
                <w:sz w:val="16"/>
                <w:szCs w:val="16"/>
              </w:rPr>
              <w:t>BesGr.</w:t>
            </w:r>
          </w:p>
          <w:p w14:paraId="4798A6BE" w14:textId="77777777" w:rsidR="00DE362D" w:rsidRDefault="00606F80" w:rsidP="0030686C">
            <w:pPr>
              <w:spacing w:before="120" w:after="120" w:line="200" w:lineRule="exact"/>
              <w:ind w:right="-85"/>
              <w:rPr>
                <w:sz w:val="16"/>
                <w:szCs w:val="16"/>
              </w:rPr>
            </w:pPr>
            <w:r>
              <w:rPr>
                <w:sz w:val="16"/>
                <w:szCs w:val="16"/>
              </w:rPr>
              <w:t>oder</w:t>
            </w:r>
          </w:p>
          <w:p w14:paraId="46419134" w14:textId="77777777" w:rsidR="00606F80" w:rsidRPr="006E0575" w:rsidRDefault="00606F80" w:rsidP="0030686C">
            <w:pPr>
              <w:spacing w:before="120" w:after="120" w:line="200" w:lineRule="exact"/>
              <w:ind w:right="-85"/>
              <w:rPr>
                <w:sz w:val="16"/>
                <w:szCs w:val="16"/>
              </w:rPr>
            </w:pPr>
            <w:r>
              <w:rPr>
                <w:sz w:val="16"/>
                <w:szCs w:val="16"/>
              </w:rPr>
              <w:t>EG</w:t>
            </w:r>
          </w:p>
        </w:tc>
        <w:tc>
          <w:tcPr>
            <w:tcW w:w="1928" w:type="dxa"/>
            <w:shd w:val="pct12" w:color="auto" w:fill="FFFFFF"/>
          </w:tcPr>
          <w:p w14:paraId="5C6C4AFC" w14:textId="77777777" w:rsidR="005F5B3D" w:rsidRPr="006E0575" w:rsidRDefault="005F5B3D" w:rsidP="0030686C">
            <w:pPr>
              <w:spacing w:before="120" w:after="120" w:line="200" w:lineRule="exact"/>
              <w:ind w:right="-85"/>
              <w:rPr>
                <w:sz w:val="16"/>
                <w:szCs w:val="16"/>
              </w:rPr>
            </w:pPr>
            <w:r w:rsidRPr="006E0575">
              <w:rPr>
                <w:sz w:val="16"/>
                <w:szCs w:val="16"/>
              </w:rPr>
              <w:t>Funktions</w:t>
            </w:r>
            <w:r w:rsidR="00622CC7">
              <w:rPr>
                <w:sz w:val="16"/>
                <w:szCs w:val="16"/>
              </w:rPr>
              <w:t>-</w:t>
            </w:r>
            <w:r w:rsidR="00622CC7">
              <w:rPr>
                <w:sz w:val="16"/>
                <w:szCs w:val="16"/>
              </w:rPr>
              <w:br/>
            </w:r>
            <w:r w:rsidRPr="006E0575">
              <w:rPr>
                <w:sz w:val="16"/>
                <w:szCs w:val="16"/>
              </w:rPr>
              <w:t>bezeichnung</w:t>
            </w:r>
          </w:p>
        </w:tc>
        <w:tc>
          <w:tcPr>
            <w:tcW w:w="737" w:type="dxa"/>
            <w:shd w:val="pct12" w:color="auto" w:fill="FFFFFF"/>
          </w:tcPr>
          <w:p w14:paraId="4185903F" w14:textId="77777777" w:rsidR="005F5B3D" w:rsidRPr="006E0575" w:rsidRDefault="005F5B3D" w:rsidP="0030686C">
            <w:pPr>
              <w:spacing w:before="120" w:after="120" w:line="200" w:lineRule="exact"/>
              <w:ind w:right="-85"/>
              <w:rPr>
                <w:sz w:val="16"/>
                <w:szCs w:val="16"/>
              </w:rPr>
            </w:pPr>
            <w:r w:rsidRPr="006E0575">
              <w:rPr>
                <w:sz w:val="16"/>
                <w:szCs w:val="16"/>
              </w:rPr>
              <w:t>Anzahl</w:t>
            </w:r>
            <w:r>
              <w:rPr>
                <w:sz w:val="16"/>
                <w:szCs w:val="16"/>
              </w:rPr>
              <w:br/>
            </w:r>
            <w:r w:rsidRPr="006E0575">
              <w:rPr>
                <w:sz w:val="16"/>
                <w:szCs w:val="16"/>
              </w:rPr>
              <w:t>der</w:t>
            </w:r>
            <w:r w:rsidRPr="006E0575">
              <w:rPr>
                <w:sz w:val="16"/>
                <w:szCs w:val="16"/>
              </w:rPr>
              <w:br/>
              <w:t>Stellen</w:t>
            </w:r>
          </w:p>
        </w:tc>
        <w:tc>
          <w:tcPr>
            <w:tcW w:w="1134" w:type="dxa"/>
            <w:shd w:val="pct12" w:color="auto" w:fill="FFFFFF"/>
          </w:tcPr>
          <w:p w14:paraId="3BFB8D8A" w14:textId="77777777" w:rsidR="005F5B3D" w:rsidRPr="006E0575" w:rsidRDefault="005F5B3D" w:rsidP="0030686C">
            <w:pPr>
              <w:spacing w:before="120" w:after="120" w:line="200" w:lineRule="exact"/>
              <w:ind w:right="-85"/>
              <w:rPr>
                <w:sz w:val="16"/>
                <w:szCs w:val="16"/>
              </w:rPr>
            </w:pPr>
            <w:r w:rsidRPr="006E0575">
              <w:rPr>
                <w:sz w:val="16"/>
                <w:szCs w:val="16"/>
              </w:rPr>
              <w:t>Stellen-</w:t>
            </w:r>
            <w:r w:rsidRPr="006E0575">
              <w:rPr>
                <w:sz w:val="16"/>
                <w:szCs w:val="16"/>
              </w:rPr>
              <w:br/>
              <w:t>vermerk</w:t>
            </w:r>
          </w:p>
        </w:tc>
        <w:tc>
          <w:tcPr>
            <w:tcW w:w="1417" w:type="dxa"/>
            <w:shd w:val="pct12" w:color="auto" w:fill="FFFFFF"/>
          </w:tcPr>
          <w:p w14:paraId="3C71BA01" w14:textId="77777777" w:rsidR="005F5B3D" w:rsidRPr="006E0575" w:rsidRDefault="005F5B3D" w:rsidP="0030686C">
            <w:pPr>
              <w:spacing w:before="120" w:after="120" w:line="200" w:lineRule="exact"/>
              <w:ind w:right="-85"/>
              <w:rPr>
                <w:sz w:val="16"/>
                <w:szCs w:val="16"/>
              </w:rPr>
            </w:pPr>
            <w:r>
              <w:rPr>
                <w:sz w:val="16"/>
                <w:szCs w:val="16"/>
              </w:rPr>
              <w:t>d</w:t>
            </w:r>
            <w:r w:rsidRPr="006E0575">
              <w:rPr>
                <w:sz w:val="16"/>
                <w:szCs w:val="16"/>
              </w:rPr>
              <w:t>urchschnittl.</w:t>
            </w:r>
            <w:r>
              <w:rPr>
                <w:sz w:val="16"/>
                <w:szCs w:val="16"/>
              </w:rPr>
              <w:br/>
            </w:r>
            <w:r w:rsidRPr="006E0575">
              <w:rPr>
                <w:sz w:val="16"/>
                <w:szCs w:val="16"/>
              </w:rPr>
              <w:t>jährl. kosten-</w:t>
            </w:r>
            <w:r>
              <w:rPr>
                <w:sz w:val="16"/>
                <w:szCs w:val="16"/>
              </w:rPr>
              <w:br/>
              <w:t>wirksamer</w:t>
            </w:r>
            <w:r w:rsidR="00DE362D">
              <w:rPr>
                <w:sz w:val="16"/>
                <w:szCs w:val="16"/>
              </w:rPr>
              <w:t xml:space="preserve"> </w:t>
            </w:r>
            <w:r>
              <w:rPr>
                <w:sz w:val="16"/>
                <w:szCs w:val="16"/>
              </w:rPr>
              <w:br/>
            </w:r>
            <w:r w:rsidRPr="006E0575">
              <w:rPr>
                <w:sz w:val="16"/>
                <w:szCs w:val="16"/>
              </w:rPr>
              <w:t>Auf</w:t>
            </w:r>
            <w:r>
              <w:rPr>
                <w:sz w:val="16"/>
                <w:szCs w:val="16"/>
              </w:rPr>
              <w:t>wand</w:t>
            </w:r>
            <w:r w:rsidR="0030686C">
              <w:rPr>
                <w:sz w:val="16"/>
                <w:szCs w:val="16"/>
              </w:rPr>
              <w:t xml:space="preserve"> </w:t>
            </w:r>
            <w:r>
              <w:rPr>
                <w:sz w:val="16"/>
                <w:szCs w:val="16"/>
              </w:rPr>
              <w:br/>
            </w:r>
            <w:r w:rsidR="003F0FAA">
              <w:rPr>
                <w:sz w:val="16"/>
                <w:szCs w:val="16"/>
              </w:rPr>
              <w:t xml:space="preserve">in </w:t>
            </w:r>
            <w:r>
              <w:rPr>
                <w:sz w:val="16"/>
                <w:szCs w:val="16"/>
              </w:rPr>
              <w:t>Euro</w:t>
            </w:r>
          </w:p>
        </w:tc>
      </w:tr>
      <w:tr w:rsidR="005F5B3D" w:rsidRPr="006E0575" w14:paraId="32815B96" w14:textId="77777777" w:rsidTr="008A2B8B">
        <w:tc>
          <w:tcPr>
            <w:tcW w:w="1814" w:type="dxa"/>
          </w:tcPr>
          <w:p w14:paraId="0DCF6D8D" w14:textId="77777777" w:rsidR="005F5B3D" w:rsidRDefault="005F5B3D" w:rsidP="0030686C">
            <w:pPr>
              <w:rPr>
                <w:sz w:val="20"/>
              </w:rPr>
            </w:pPr>
          </w:p>
          <w:p w14:paraId="69AA659B" w14:textId="77777777" w:rsidR="005F5B3D" w:rsidRDefault="006D4DFD" w:rsidP="0030686C">
            <w:pPr>
              <w:rPr>
                <w:sz w:val="20"/>
              </w:rPr>
            </w:pPr>
            <w:r>
              <w:rPr>
                <w:sz w:val="20"/>
              </w:rPr>
              <w:t xml:space="preserve">29-4 </w:t>
            </w:r>
          </w:p>
          <w:p w14:paraId="768C6232" w14:textId="77777777" w:rsidR="0011112B" w:rsidRDefault="0011112B" w:rsidP="0030686C">
            <w:pPr>
              <w:rPr>
                <w:sz w:val="20"/>
              </w:rPr>
            </w:pPr>
          </w:p>
          <w:p w14:paraId="02A006FD" w14:textId="14391E60" w:rsidR="0011112B" w:rsidRDefault="006D4DFD" w:rsidP="0030686C">
            <w:pPr>
              <w:rPr>
                <w:sz w:val="20"/>
              </w:rPr>
            </w:pPr>
            <w:r>
              <w:rPr>
                <w:sz w:val="20"/>
              </w:rPr>
              <w:t>2910</w:t>
            </w:r>
            <w:r w:rsidR="00F55162">
              <w:rPr>
                <w:sz w:val="20"/>
              </w:rPr>
              <w:t xml:space="preserve"> </w:t>
            </w:r>
            <w:r>
              <w:rPr>
                <w:sz w:val="20"/>
              </w:rPr>
              <w:t>5170</w:t>
            </w:r>
          </w:p>
          <w:p w14:paraId="5038BDE6" w14:textId="77777777" w:rsidR="005F5B3D" w:rsidRPr="006E0575" w:rsidRDefault="005F5B3D" w:rsidP="0030686C">
            <w:pPr>
              <w:rPr>
                <w:sz w:val="20"/>
              </w:rPr>
            </w:pPr>
          </w:p>
        </w:tc>
        <w:tc>
          <w:tcPr>
            <w:tcW w:w="1701" w:type="dxa"/>
          </w:tcPr>
          <w:p w14:paraId="2BD9FDEB" w14:textId="77777777" w:rsidR="005F5B3D" w:rsidRDefault="005F5B3D" w:rsidP="0030686C">
            <w:pPr>
              <w:rPr>
                <w:sz w:val="20"/>
              </w:rPr>
            </w:pPr>
          </w:p>
          <w:p w14:paraId="64EEF749" w14:textId="51147429" w:rsidR="005F5B3D" w:rsidRPr="006E0575" w:rsidRDefault="00771F4C" w:rsidP="0030686C">
            <w:pPr>
              <w:rPr>
                <w:sz w:val="20"/>
              </w:rPr>
            </w:pPr>
            <w:r>
              <w:rPr>
                <w:sz w:val="20"/>
              </w:rPr>
              <w:t>Jobcenter</w:t>
            </w:r>
          </w:p>
        </w:tc>
        <w:tc>
          <w:tcPr>
            <w:tcW w:w="794" w:type="dxa"/>
          </w:tcPr>
          <w:p w14:paraId="3E91A055" w14:textId="77777777" w:rsidR="005F5B3D" w:rsidRDefault="005F5B3D" w:rsidP="0030686C">
            <w:pPr>
              <w:rPr>
                <w:sz w:val="20"/>
              </w:rPr>
            </w:pPr>
          </w:p>
          <w:p w14:paraId="73C0BD89" w14:textId="77777777" w:rsidR="00771F4C" w:rsidRPr="006E0575" w:rsidRDefault="00771F4C" w:rsidP="0030686C">
            <w:pPr>
              <w:rPr>
                <w:sz w:val="20"/>
              </w:rPr>
            </w:pPr>
            <w:r>
              <w:rPr>
                <w:sz w:val="20"/>
              </w:rPr>
              <w:t>EG 10</w:t>
            </w:r>
          </w:p>
        </w:tc>
        <w:tc>
          <w:tcPr>
            <w:tcW w:w="1928" w:type="dxa"/>
          </w:tcPr>
          <w:p w14:paraId="443416BF" w14:textId="77777777" w:rsidR="005F5B3D" w:rsidRDefault="005F5B3D" w:rsidP="0030686C">
            <w:pPr>
              <w:rPr>
                <w:sz w:val="20"/>
              </w:rPr>
            </w:pPr>
          </w:p>
          <w:p w14:paraId="1D597F78" w14:textId="1B726376" w:rsidR="005F5B3D" w:rsidRDefault="003165B1" w:rsidP="0030686C">
            <w:pPr>
              <w:rPr>
                <w:sz w:val="20"/>
              </w:rPr>
            </w:pPr>
            <w:r>
              <w:rPr>
                <w:sz w:val="20"/>
              </w:rPr>
              <w:t>Persönliche Ansprechpartner/-</w:t>
            </w:r>
            <w:r w:rsidR="00771F4C">
              <w:rPr>
                <w:sz w:val="20"/>
              </w:rPr>
              <w:t xml:space="preserve">in </w:t>
            </w:r>
          </w:p>
          <w:p w14:paraId="0D7BEF85" w14:textId="77777777" w:rsidR="00771F4C" w:rsidRPr="006E0575" w:rsidRDefault="00771F4C" w:rsidP="0030686C">
            <w:pPr>
              <w:rPr>
                <w:sz w:val="20"/>
              </w:rPr>
            </w:pPr>
          </w:p>
        </w:tc>
        <w:tc>
          <w:tcPr>
            <w:tcW w:w="737" w:type="dxa"/>
            <w:shd w:val="pct12" w:color="auto" w:fill="FFFFFF"/>
          </w:tcPr>
          <w:p w14:paraId="66A07B62" w14:textId="77777777" w:rsidR="005F5B3D" w:rsidRDefault="005F5B3D" w:rsidP="0030686C">
            <w:pPr>
              <w:rPr>
                <w:sz w:val="20"/>
              </w:rPr>
            </w:pPr>
          </w:p>
          <w:p w14:paraId="35AA560A" w14:textId="77777777" w:rsidR="005F5B3D" w:rsidRPr="006E0575" w:rsidRDefault="0011527C" w:rsidP="0030686C">
            <w:pPr>
              <w:rPr>
                <w:sz w:val="20"/>
              </w:rPr>
            </w:pPr>
            <w:r>
              <w:rPr>
                <w:sz w:val="20"/>
              </w:rPr>
              <w:t>4,2</w:t>
            </w:r>
            <w:r w:rsidR="00F7798D">
              <w:rPr>
                <w:sz w:val="20"/>
              </w:rPr>
              <w:t>0</w:t>
            </w:r>
          </w:p>
        </w:tc>
        <w:tc>
          <w:tcPr>
            <w:tcW w:w="1134" w:type="dxa"/>
          </w:tcPr>
          <w:p w14:paraId="62B385A3" w14:textId="77777777" w:rsidR="005F5B3D" w:rsidRDefault="005F5B3D" w:rsidP="0030686C">
            <w:pPr>
              <w:rPr>
                <w:sz w:val="20"/>
              </w:rPr>
            </w:pPr>
          </w:p>
          <w:p w14:paraId="1C1AAD69" w14:textId="77777777" w:rsidR="005F5B3D" w:rsidRDefault="000D2B6C" w:rsidP="0030686C">
            <w:pPr>
              <w:rPr>
                <w:sz w:val="20"/>
              </w:rPr>
            </w:pPr>
            <w:r>
              <w:rPr>
                <w:sz w:val="20"/>
              </w:rPr>
              <w:t>KW</w:t>
            </w:r>
          </w:p>
          <w:p w14:paraId="467B5DE6" w14:textId="77777777" w:rsidR="000D2B6C" w:rsidRPr="006E0575" w:rsidRDefault="000D2B6C" w:rsidP="0030686C">
            <w:pPr>
              <w:rPr>
                <w:sz w:val="20"/>
              </w:rPr>
            </w:pPr>
            <w:r>
              <w:rPr>
                <w:sz w:val="20"/>
              </w:rPr>
              <w:t>01/2026</w:t>
            </w:r>
          </w:p>
        </w:tc>
        <w:tc>
          <w:tcPr>
            <w:tcW w:w="1417" w:type="dxa"/>
          </w:tcPr>
          <w:p w14:paraId="05CE28B5" w14:textId="77777777" w:rsidR="005F5B3D" w:rsidRDefault="005F5B3D" w:rsidP="0030686C">
            <w:pPr>
              <w:rPr>
                <w:sz w:val="20"/>
              </w:rPr>
            </w:pPr>
          </w:p>
          <w:p w14:paraId="50FC6DA9" w14:textId="5436350A" w:rsidR="005F5B3D" w:rsidRDefault="003165B1" w:rsidP="0011527C">
            <w:pPr>
              <w:rPr>
                <w:sz w:val="20"/>
                <w:shd w:val="clear" w:color="auto" w:fill="FFFFFF" w:themeFill="background1"/>
              </w:rPr>
            </w:pPr>
            <w:r>
              <w:rPr>
                <w:sz w:val="20"/>
                <w:shd w:val="clear" w:color="auto" w:fill="FFFFFF" w:themeFill="background1"/>
              </w:rPr>
              <w:t>304.080</w:t>
            </w:r>
          </w:p>
          <w:p w14:paraId="7F07D84A" w14:textId="19DB2FC7" w:rsidR="000D2B6C" w:rsidRDefault="000D2B6C" w:rsidP="0011527C">
            <w:pPr>
              <w:rPr>
                <w:sz w:val="20"/>
                <w:shd w:val="clear" w:color="auto" w:fill="FFFFFF" w:themeFill="background1"/>
              </w:rPr>
            </w:pPr>
            <w:r>
              <w:rPr>
                <w:sz w:val="20"/>
                <w:shd w:val="clear" w:color="auto" w:fill="FFFFFF" w:themeFill="background1"/>
              </w:rPr>
              <w:t xml:space="preserve">(davon </w:t>
            </w:r>
            <w:r w:rsidR="003165B1">
              <w:rPr>
                <w:sz w:val="20"/>
                <w:shd w:val="clear" w:color="auto" w:fill="FFFFFF" w:themeFill="background1"/>
              </w:rPr>
              <w:t>258.468</w:t>
            </w:r>
          </w:p>
          <w:p w14:paraId="6B017E4D" w14:textId="748D46C0" w:rsidR="000D2B6C" w:rsidRDefault="000D2B6C" w:rsidP="0011527C">
            <w:pPr>
              <w:rPr>
                <w:sz w:val="20"/>
                <w:shd w:val="clear" w:color="auto" w:fill="FFFFFF" w:themeFill="background1"/>
              </w:rPr>
            </w:pPr>
            <w:r>
              <w:rPr>
                <w:sz w:val="20"/>
                <w:shd w:val="clear" w:color="auto" w:fill="FFFFFF" w:themeFill="background1"/>
              </w:rPr>
              <w:t>hh neutral</w:t>
            </w:r>
            <w:r w:rsidR="003165B1">
              <w:rPr>
                <w:sz w:val="20"/>
                <w:shd w:val="clear" w:color="auto" w:fill="FFFFFF" w:themeFill="background1"/>
              </w:rPr>
              <w:t>*</w:t>
            </w:r>
            <w:r>
              <w:rPr>
                <w:sz w:val="20"/>
                <w:shd w:val="clear" w:color="auto" w:fill="FFFFFF" w:themeFill="background1"/>
              </w:rPr>
              <w:t>)</w:t>
            </w:r>
          </w:p>
          <w:p w14:paraId="33572DB6" w14:textId="77777777" w:rsidR="000D2B6C" w:rsidRPr="006E0575" w:rsidRDefault="000D2B6C" w:rsidP="0011527C">
            <w:pPr>
              <w:rPr>
                <w:sz w:val="20"/>
              </w:rPr>
            </w:pPr>
          </w:p>
        </w:tc>
      </w:tr>
    </w:tbl>
    <w:p w14:paraId="27A35360" w14:textId="77777777" w:rsidR="00775689" w:rsidRDefault="00775689" w:rsidP="006D4DFD">
      <w:pPr>
        <w:pStyle w:val="berschrift1"/>
        <w:spacing w:before="0"/>
        <w:ind w:left="0" w:firstLine="0"/>
        <w:rPr>
          <w:b w:val="0"/>
          <w:sz w:val="16"/>
          <w:szCs w:val="16"/>
          <w:u w:val="none"/>
        </w:rPr>
      </w:pPr>
      <w:r w:rsidRPr="003165B1">
        <w:rPr>
          <w:b w:val="0"/>
          <w:sz w:val="16"/>
          <w:szCs w:val="16"/>
          <w:u w:val="none"/>
        </w:rPr>
        <w:t>*)</w:t>
      </w:r>
      <w:r w:rsidRPr="003165B1">
        <w:rPr>
          <w:rFonts w:ascii="Helv" w:hAnsi="Helv" w:cs="Helv"/>
          <w:b w:val="0"/>
          <w:color w:val="000000"/>
          <w:sz w:val="16"/>
          <w:szCs w:val="16"/>
          <w:u w:val="none"/>
        </w:rPr>
        <w:t xml:space="preserve">  </w:t>
      </w:r>
      <w:r w:rsidRPr="00F15BA3">
        <w:rPr>
          <w:rFonts w:ascii="Helv" w:hAnsi="Helv" w:cs="Helv"/>
          <w:b w:val="0"/>
          <w:color w:val="000000"/>
          <w:sz w:val="16"/>
          <w:szCs w:val="16"/>
          <w:u w:val="none"/>
        </w:rPr>
        <w:t xml:space="preserve"> </w:t>
      </w:r>
      <w:r w:rsidR="008A2B8B" w:rsidRPr="006D4DFD">
        <w:rPr>
          <w:b w:val="0"/>
          <w:sz w:val="16"/>
          <w:szCs w:val="16"/>
          <w:u w:val="none"/>
        </w:rPr>
        <w:t>Gemäß Kommunalträger-Abrechnungsverwaltungsvorschrift (</w:t>
      </w:r>
      <w:proofErr w:type="spellStart"/>
      <w:r w:rsidR="008A2B8B" w:rsidRPr="006D4DFD">
        <w:rPr>
          <w:b w:val="0"/>
          <w:sz w:val="16"/>
          <w:szCs w:val="16"/>
          <w:u w:val="none"/>
        </w:rPr>
        <w:t>KoA</w:t>
      </w:r>
      <w:proofErr w:type="spellEnd"/>
      <w:r w:rsidR="008A2B8B" w:rsidRPr="006D4DFD">
        <w:rPr>
          <w:b w:val="0"/>
          <w:sz w:val="16"/>
          <w:szCs w:val="16"/>
          <w:u w:val="none"/>
        </w:rPr>
        <w:t xml:space="preserve">-VV) erfolgt die Abrechnung der Personalkosten operativer </w:t>
      </w:r>
      <w:r>
        <w:rPr>
          <w:b w:val="0"/>
          <w:sz w:val="16"/>
          <w:szCs w:val="16"/>
          <w:u w:val="none"/>
        </w:rPr>
        <w:t xml:space="preserve">  </w:t>
      </w:r>
    </w:p>
    <w:p w14:paraId="3FC24119" w14:textId="77777777" w:rsidR="00775689" w:rsidRDefault="00775689" w:rsidP="006D4DFD">
      <w:pPr>
        <w:pStyle w:val="berschrift1"/>
        <w:spacing w:before="0"/>
        <w:ind w:left="0" w:firstLine="0"/>
        <w:rPr>
          <w:b w:val="0"/>
          <w:sz w:val="16"/>
          <w:szCs w:val="16"/>
          <w:u w:val="none"/>
        </w:rPr>
      </w:pPr>
      <w:r>
        <w:rPr>
          <w:b w:val="0"/>
          <w:sz w:val="16"/>
          <w:szCs w:val="16"/>
          <w:u w:val="none"/>
        </w:rPr>
        <w:t xml:space="preserve">      </w:t>
      </w:r>
      <w:r w:rsidR="008A2B8B" w:rsidRPr="006D4DFD">
        <w:rPr>
          <w:b w:val="0"/>
          <w:sz w:val="16"/>
          <w:szCs w:val="16"/>
          <w:u w:val="none"/>
        </w:rPr>
        <w:t xml:space="preserve">Stellen mit dem Bund spitz, für die Personalneben-, Sach- und Gemeinkosten werden Pauschalen zugrunde gelegt. Der Anteil </w:t>
      </w:r>
      <w:r>
        <w:rPr>
          <w:b w:val="0"/>
          <w:sz w:val="16"/>
          <w:szCs w:val="16"/>
          <w:u w:val="none"/>
        </w:rPr>
        <w:t xml:space="preserve"> </w:t>
      </w:r>
    </w:p>
    <w:p w14:paraId="1A4830E7" w14:textId="77777777" w:rsidR="00775689" w:rsidRDefault="00775689" w:rsidP="006D4DFD">
      <w:pPr>
        <w:pStyle w:val="berschrift1"/>
        <w:spacing w:before="0"/>
        <w:ind w:left="0" w:firstLine="0"/>
        <w:rPr>
          <w:b w:val="0"/>
          <w:sz w:val="16"/>
          <w:szCs w:val="16"/>
          <w:u w:val="none"/>
        </w:rPr>
      </w:pPr>
      <w:r>
        <w:rPr>
          <w:b w:val="0"/>
          <w:sz w:val="16"/>
          <w:szCs w:val="16"/>
          <w:u w:val="none"/>
        </w:rPr>
        <w:t xml:space="preserve">      </w:t>
      </w:r>
      <w:r w:rsidR="008A2B8B" w:rsidRPr="006D4DFD">
        <w:rPr>
          <w:b w:val="0"/>
          <w:sz w:val="16"/>
          <w:szCs w:val="16"/>
          <w:u w:val="none"/>
        </w:rPr>
        <w:t xml:space="preserve">des Bundes an den Kosten beträgt 84,8 Prozent, der kommunale Finanzierungsanteil (KFA) beträgt 15,2 Prozent. </w:t>
      </w:r>
      <w:r w:rsidR="006D4DFD">
        <w:rPr>
          <w:b w:val="0"/>
          <w:sz w:val="16"/>
          <w:szCs w:val="16"/>
          <w:u w:val="none"/>
        </w:rPr>
        <w:t xml:space="preserve">Inklusive aller </w:t>
      </w:r>
    </w:p>
    <w:p w14:paraId="5E88D912" w14:textId="77777777" w:rsidR="00775689" w:rsidRDefault="00775689" w:rsidP="006D4DFD">
      <w:pPr>
        <w:pStyle w:val="berschrift1"/>
        <w:spacing w:before="0"/>
        <w:ind w:left="0" w:firstLine="0"/>
        <w:rPr>
          <w:b w:val="0"/>
          <w:sz w:val="16"/>
          <w:szCs w:val="16"/>
          <w:u w:val="none"/>
        </w:rPr>
      </w:pPr>
      <w:r>
        <w:rPr>
          <w:b w:val="0"/>
          <w:sz w:val="16"/>
          <w:szCs w:val="16"/>
          <w:u w:val="none"/>
        </w:rPr>
        <w:t xml:space="preserve">      </w:t>
      </w:r>
      <w:r w:rsidR="006D4DFD">
        <w:rPr>
          <w:b w:val="0"/>
          <w:sz w:val="16"/>
          <w:szCs w:val="16"/>
          <w:u w:val="none"/>
        </w:rPr>
        <w:t>Pauschalen über</w:t>
      </w:r>
      <w:r w:rsidR="008A2B8B" w:rsidRPr="006D4DFD">
        <w:rPr>
          <w:b w:val="0"/>
          <w:sz w:val="16"/>
          <w:szCs w:val="16"/>
          <w:u w:val="none"/>
        </w:rPr>
        <w:t xml:space="preserve">steigt die Erstattung des Bundes den kostenwirksamen Aufwand, der bei der LHS für die operative(n) Stelle(n) </w:t>
      </w:r>
      <w:r>
        <w:rPr>
          <w:b w:val="0"/>
          <w:sz w:val="16"/>
          <w:szCs w:val="16"/>
          <w:u w:val="none"/>
        </w:rPr>
        <w:t xml:space="preserve">  </w:t>
      </w:r>
    </w:p>
    <w:p w14:paraId="42FC687F" w14:textId="77777777" w:rsidR="006D4DFD" w:rsidRPr="006D4DFD" w:rsidRDefault="00775689" w:rsidP="006D4DFD">
      <w:pPr>
        <w:pStyle w:val="berschrift1"/>
        <w:spacing w:before="0"/>
        <w:ind w:left="0" w:firstLine="0"/>
        <w:rPr>
          <w:b w:val="0"/>
          <w:sz w:val="16"/>
          <w:szCs w:val="16"/>
          <w:u w:val="none"/>
        </w:rPr>
      </w:pPr>
      <w:r>
        <w:rPr>
          <w:b w:val="0"/>
          <w:sz w:val="16"/>
          <w:szCs w:val="16"/>
          <w:u w:val="none"/>
        </w:rPr>
        <w:t xml:space="preserve">      </w:t>
      </w:r>
      <w:r w:rsidR="008A2B8B" w:rsidRPr="006D4DFD">
        <w:rPr>
          <w:b w:val="0"/>
          <w:sz w:val="16"/>
          <w:szCs w:val="16"/>
          <w:u w:val="none"/>
        </w:rPr>
        <w:t>entsteht</w:t>
      </w:r>
    </w:p>
    <w:p w14:paraId="6841AB9F" w14:textId="77777777" w:rsidR="003D7B0B" w:rsidRPr="007F6B8A" w:rsidRDefault="008A2B8B" w:rsidP="00884D6C">
      <w:pPr>
        <w:pStyle w:val="berschrift1"/>
        <w:rPr>
          <w:u w:val="none"/>
        </w:rPr>
      </w:pPr>
      <w:r>
        <w:rPr>
          <w:sz w:val="16"/>
          <w:szCs w:val="16"/>
        </w:rPr>
        <w:t xml:space="preserve"> </w:t>
      </w:r>
      <w:r w:rsidR="006E0575" w:rsidRPr="007F6B8A">
        <w:t>1</w:t>
      </w:r>
      <w:r w:rsidR="00884D6C" w:rsidRPr="007F6B8A">
        <w:tab/>
      </w:r>
      <w:r w:rsidR="003D7B0B" w:rsidRPr="007F6B8A">
        <w:t>Antra</w:t>
      </w:r>
      <w:r w:rsidR="003D7B0B" w:rsidRPr="007F6B8A">
        <w:rPr>
          <w:u w:val="none"/>
        </w:rPr>
        <w:t>g</w:t>
      </w:r>
      <w:r w:rsidR="003D7B0B" w:rsidRPr="007F6B8A">
        <w:t>, Stellenausstattun</w:t>
      </w:r>
      <w:r w:rsidR="003D7B0B" w:rsidRPr="007F6B8A">
        <w:rPr>
          <w:u w:val="none"/>
        </w:rPr>
        <w:t>g</w:t>
      </w:r>
    </w:p>
    <w:p w14:paraId="3A61EAA6" w14:textId="5A1FAF7C" w:rsidR="00771F4C" w:rsidRPr="00C02DE8" w:rsidRDefault="00627F71" w:rsidP="006F2C1E">
      <w:pPr>
        <w:widowControl w:val="0"/>
        <w:kinsoku w:val="0"/>
        <w:overflowPunct w:val="0"/>
        <w:spacing w:before="279" w:line="277" w:lineRule="exact"/>
        <w:ind w:right="289"/>
        <w:textAlignment w:val="baseline"/>
        <w:rPr>
          <w:rFonts w:cs="Arial"/>
        </w:rPr>
      </w:pPr>
      <w:r w:rsidRPr="00C02DE8">
        <w:rPr>
          <w:rFonts w:cs="Arial"/>
        </w:rPr>
        <w:t xml:space="preserve">Geschaffen werden insgesamt </w:t>
      </w:r>
      <w:r w:rsidR="003F703D" w:rsidRPr="00C02DE8">
        <w:rPr>
          <w:rFonts w:cs="Arial"/>
        </w:rPr>
        <w:t>4,20</w:t>
      </w:r>
      <w:r w:rsidR="00771F4C" w:rsidRPr="00C02DE8">
        <w:rPr>
          <w:rFonts w:cs="Arial"/>
        </w:rPr>
        <w:t xml:space="preserve"> Stellen</w:t>
      </w:r>
      <w:r w:rsidRPr="00C02DE8">
        <w:rPr>
          <w:rFonts w:cs="Arial"/>
        </w:rPr>
        <w:t xml:space="preserve"> für </w:t>
      </w:r>
      <w:r w:rsidR="00771F4C" w:rsidRPr="00C02DE8">
        <w:rPr>
          <w:rFonts w:cs="Arial"/>
        </w:rPr>
        <w:t>Persönliche Ansprechpartner</w:t>
      </w:r>
      <w:r w:rsidR="003165B1">
        <w:rPr>
          <w:rFonts w:cs="Arial"/>
        </w:rPr>
        <w:t>/-</w:t>
      </w:r>
      <w:r w:rsidR="00771F4C" w:rsidRPr="00C02DE8">
        <w:rPr>
          <w:rFonts w:cs="Arial"/>
        </w:rPr>
        <w:t>innen (</w:t>
      </w:r>
      <w:proofErr w:type="spellStart"/>
      <w:r w:rsidR="00771F4C" w:rsidRPr="00C02DE8">
        <w:rPr>
          <w:rFonts w:cs="Arial"/>
        </w:rPr>
        <w:t>pAp</w:t>
      </w:r>
      <w:proofErr w:type="spellEnd"/>
      <w:r w:rsidR="00771F4C" w:rsidRPr="00C02DE8">
        <w:rPr>
          <w:rFonts w:cs="Arial"/>
        </w:rPr>
        <w:t>)</w:t>
      </w:r>
      <w:r w:rsidR="00952EA0" w:rsidRPr="00C02DE8">
        <w:rPr>
          <w:rFonts w:cs="Arial"/>
        </w:rPr>
        <w:t xml:space="preserve"> für die Förderun</w:t>
      </w:r>
      <w:r w:rsidR="003165B1">
        <w:rPr>
          <w:rFonts w:cs="Arial"/>
        </w:rPr>
        <w:t>g und Unterstützung von Schüler/-</w:t>
      </w:r>
      <w:r w:rsidR="00952EA0" w:rsidRPr="00C02DE8">
        <w:rPr>
          <w:rFonts w:cs="Arial"/>
        </w:rPr>
        <w:t>innen und erziehenden Mü</w:t>
      </w:r>
      <w:r w:rsidR="003165B1">
        <w:rPr>
          <w:rFonts w:cs="Arial"/>
        </w:rPr>
        <w:t>t</w:t>
      </w:r>
      <w:r w:rsidR="00952EA0" w:rsidRPr="00C02DE8">
        <w:rPr>
          <w:rFonts w:cs="Arial"/>
        </w:rPr>
        <w:t>tern unter 25 Jahren</w:t>
      </w:r>
      <w:r w:rsidR="00684C35" w:rsidRPr="00C02DE8">
        <w:rPr>
          <w:rFonts w:cs="Arial"/>
        </w:rPr>
        <w:t xml:space="preserve"> </w:t>
      </w:r>
      <w:r w:rsidR="00684C35" w:rsidRPr="00C02DE8">
        <w:rPr>
          <w:rFonts w:eastAsiaTheme="minorEastAsia" w:cs="Arial"/>
        </w:rPr>
        <w:t>in der Abteilung Migration und Teilhabe</w:t>
      </w:r>
      <w:r w:rsidR="00771F4C" w:rsidRPr="00C02DE8">
        <w:rPr>
          <w:rFonts w:cs="Arial"/>
        </w:rPr>
        <w:t xml:space="preserve">. </w:t>
      </w:r>
      <w:r w:rsidR="00C3257D" w:rsidRPr="00C02DE8">
        <w:rPr>
          <w:rFonts w:cs="Arial"/>
        </w:rPr>
        <w:t>Das Personal darf unbefristet eingestellt werden.</w:t>
      </w:r>
    </w:p>
    <w:p w14:paraId="5973ADC2" w14:textId="77777777" w:rsidR="003D7B0B" w:rsidRPr="00C02DE8" w:rsidRDefault="003D7B0B" w:rsidP="00884D6C">
      <w:pPr>
        <w:pStyle w:val="berschrift1"/>
      </w:pPr>
      <w:r w:rsidRPr="00C02DE8">
        <w:t>2</w:t>
      </w:r>
      <w:r w:rsidRPr="00C02DE8">
        <w:tab/>
        <w:t>Schaffun</w:t>
      </w:r>
      <w:r w:rsidRPr="00C02DE8">
        <w:rPr>
          <w:u w:val="none"/>
        </w:rPr>
        <w:t>g</w:t>
      </w:r>
      <w:r w:rsidRPr="00C02DE8">
        <w:t>skriterien</w:t>
      </w:r>
    </w:p>
    <w:p w14:paraId="45DDC1F2" w14:textId="77777777" w:rsidR="00B9433B" w:rsidRPr="00C02DE8" w:rsidRDefault="00B9433B" w:rsidP="00B9433B"/>
    <w:p w14:paraId="67662BEA" w14:textId="374F6884" w:rsidR="003D7B0B" w:rsidRPr="00C02DE8" w:rsidRDefault="00DC554F" w:rsidP="00884D6C">
      <w:r w:rsidRPr="00C02DE8">
        <w:t>Es hat sich gezeigt, dass ein Beratungsaufwand nicht nur für ein Teil der Fälle bei den betroffenen Personengruppen besteht.</w:t>
      </w:r>
      <w:r w:rsidR="00C3257D" w:rsidRPr="00C02DE8">
        <w:t xml:space="preserve"> </w:t>
      </w:r>
      <w:r w:rsidR="00C3257D" w:rsidRPr="00C02DE8">
        <w:rPr>
          <w:rFonts w:eastAsiaTheme="minorEastAsia" w:cs="Arial"/>
        </w:rPr>
        <w:t>Die Entwicklung der Fallzahlen soll vor dem Haushaltsverfahren 2026/2027 überprüft werden. Die Stellenanteile erhalten deshalb einen KW-Vermerk 01/2026.</w:t>
      </w:r>
    </w:p>
    <w:p w14:paraId="55AFA964" w14:textId="77777777" w:rsidR="003D7B0B" w:rsidRPr="00C02DE8" w:rsidRDefault="003D7B0B" w:rsidP="00884D6C">
      <w:pPr>
        <w:pStyle w:val="berschrift1"/>
      </w:pPr>
      <w:r w:rsidRPr="00C02DE8">
        <w:t>3</w:t>
      </w:r>
      <w:r w:rsidRPr="00C02DE8">
        <w:tab/>
        <w:t>Bedarf</w:t>
      </w:r>
    </w:p>
    <w:p w14:paraId="4F02450F" w14:textId="77777777" w:rsidR="003D7B0B" w:rsidRPr="007F6B8A" w:rsidRDefault="00884D6C" w:rsidP="00884D6C">
      <w:pPr>
        <w:pStyle w:val="berschrift2"/>
      </w:pPr>
      <w:r w:rsidRPr="007F6B8A">
        <w:t>3.1</w:t>
      </w:r>
      <w:r w:rsidRPr="007F6B8A">
        <w:tab/>
      </w:r>
      <w:r w:rsidR="006E0575" w:rsidRPr="007F6B8A">
        <w:t>Anlass</w:t>
      </w:r>
    </w:p>
    <w:p w14:paraId="25202139" w14:textId="77777777" w:rsidR="003D7B0B" w:rsidRPr="007F6B8A" w:rsidRDefault="003D7B0B" w:rsidP="00884D6C"/>
    <w:p w14:paraId="5CA75A34" w14:textId="77777777" w:rsidR="00771F4C" w:rsidRPr="007F6B8A" w:rsidRDefault="00771F4C" w:rsidP="006F2C1E">
      <w:pPr>
        <w:autoSpaceDE w:val="0"/>
        <w:autoSpaceDN w:val="0"/>
        <w:adjustRightInd w:val="0"/>
        <w:rPr>
          <w:rFonts w:cs="Arial"/>
        </w:rPr>
      </w:pPr>
      <w:r w:rsidRPr="007F6B8A">
        <w:rPr>
          <w:rFonts w:cs="Arial"/>
        </w:rPr>
        <w:t xml:space="preserve">Dem Jobcenter Stuttgart kommt mit der Abteilung Migration und Teilhabe im Bereich Leistungen zur Eingliederung in Arbeit die zentrale Aufgabe der gesamtgesellschaftlichen Integration von geflüchteten Menschen zu. Passgenaue Unterstützungs- und Förderangebote zum Spracherwerb und zur beruflichen Integration werden von den </w:t>
      </w:r>
      <w:proofErr w:type="spellStart"/>
      <w:r w:rsidRPr="007F6B8A">
        <w:rPr>
          <w:rFonts w:cs="Arial"/>
        </w:rPr>
        <w:t>pAp</w:t>
      </w:r>
      <w:proofErr w:type="spellEnd"/>
      <w:r w:rsidRPr="007F6B8A">
        <w:rPr>
          <w:rFonts w:cs="Arial"/>
        </w:rPr>
        <w:t xml:space="preserve"> unterbreitet, vermittelt und nachgehalten. </w:t>
      </w:r>
    </w:p>
    <w:p w14:paraId="1B3C5635" w14:textId="77777777" w:rsidR="00771F4C" w:rsidRPr="007F6B8A" w:rsidRDefault="00771F4C" w:rsidP="00771F4C">
      <w:pPr>
        <w:autoSpaceDE w:val="0"/>
        <w:autoSpaceDN w:val="0"/>
        <w:adjustRightInd w:val="0"/>
        <w:rPr>
          <w:rFonts w:cs="Arial"/>
        </w:rPr>
      </w:pPr>
    </w:p>
    <w:p w14:paraId="74C3F682" w14:textId="7F091F9C" w:rsidR="00740E0B" w:rsidRDefault="00133571" w:rsidP="006F2C1E">
      <w:pPr>
        <w:rPr>
          <w:rFonts w:eastAsiaTheme="minorEastAsia" w:cs="Arial"/>
        </w:rPr>
      </w:pPr>
      <w:r>
        <w:rPr>
          <w:rFonts w:eastAsiaTheme="minorEastAsia" w:cs="Arial"/>
        </w:rPr>
        <w:lastRenderedPageBreak/>
        <w:t>Die Notwendigkeit der besonderen Unterstüt</w:t>
      </w:r>
      <w:r w:rsidR="00684C35">
        <w:rPr>
          <w:rFonts w:eastAsiaTheme="minorEastAsia" w:cs="Arial"/>
        </w:rPr>
        <w:t>zungsleistungen für Geflüchtete</w:t>
      </w:r>
      <w:r>
        <w:rPr>
          <w:rFonts w:eastAsiaTheme="minorEastAsia" w:cs="Arial"/>
        </w:rPr>
        <w:t xml:space="preserve"> ist unbestritten. Hinzu kommt, dass d</w:t>
      </w:r>
      <w:r w:rsidR="00A31818">
        <w:rPr>
          <w:rFonts w:eastAsiaTheme="minorEastAsia" w:cs="Arial"/>
        </w:rPr>
        <w:t>ie Fragilität der Integrationsprozesse geflüchteter Menschen</w:t>
      </w:r>
      <w:r>
        <w:rPr>
          <w:rFonts w:eastAsiaTheme="minorEastAsia" w:cs="Arial"/>
        </w:rPr>
        <w:t xml:space="preserve"> </w:t>
      </w:r>
      <w:r w:rsidR="00D63359">
        <w:rPr>
          <w:rFonts w:eastAsiaTheme="minorEastAsia" w:cs="Arial"/>
        </w:rPr>
        <w:t>in Krisenzeiten besonders sichtbar</w:t>
      </w:r>
      <w:r>
        <w:rPr>
          <w:rFonts w:eastAsiaTheme="minorEastAsia" w:cs="Arial"/>
        </w:rPr>
        <w:t xml:space="preserve"> </w:t>
      </w:r>
      <w:r w:rsidR="00D63359">
        <w:rPr>
          <w:rFonts w:eastAsiaTheme="minorEastAsia" w:cs="Arial"/>
        </w:rPr>
        <w:t>und</w:t>
      </w:r>
      <w:r w:rsidR="00A31818">
        <w:rPr>
          <w:rFonts w:eastAsiaTheme="minorEastAsia" w:cs="Arial"/>
        </w:rPr>
        <w:t xml:space="preserve"> durch aktuelle wissenschaftliche Studien verstärkt belegt</w:t>
      </w:r>
      <w:r>
        <w:rPr>
          <w:rFonts w:eastAsiaTheme="minorEastAsia" w:cs="Arial"/>
        </w:rPr>
        <w:t xml:space="preserve"> wird</w:t>
      </w:r>
      <w:r w:rsidR="00A31818">
        <w:rPr>
          <w:rFonts w:eastAsiaTheme="minorEastAsia" w:cs="Arial"/>
        </w:rPr>
        <w:t>. Nachgewiesen ist auch die bei Migra</w:t>
      </w:r>
      <w:r w:rsidR="00D63359">
        <w:rPr>
          <w:rFonts w:eastAsiaTheme="minorEastAsia" w:cs="Arial"/>
        </w:rPr>
        <w:t>n</w:t>
      </w:r>
      <w:r w:rsidR="00A31818">
        <w:rPr>
          <w:rFonts w:eastAsiaTheme="minorEastAsia" w:cs="Arial"/>
        </w:rPr>
        <w:t>t</w:t>
      </w:r>
      <w:r w:rsidR="003165B1">
        <w:rPr>
          <w:rFonts w:eastAsiaTheme="minorEastAsia" w:cs="Arial"/>
        </w:rPr>
        <w:t>en/-</w:t>
      </w:r>
      <w:r w:rsidR="00A31818">
        <w:rPr>
          <w:rFonts w:eastAsiaTheme="minorEastAsia" w:cs="Arial"/>
        </w:rPr>
        <w:t xml:space="preserve">innen geringere Bildungsbeteiligung sowie die geringere Teilhabe an gesellschaftlichen Angeboten. </w:t>
      </w:r>
      <w:r w:rsidR="00951983">
        <w:rPr>
          <w:rFonts w:eastAsiaTheme="minorEastAsia" w:cs="Arial"/>
        </w:rPr>
        <w:t>D</w:t>
      </w:r>
      <w:r w:rsidR="00A31818">
        <w:rPr>
          <w:rFonts w:eastAsiaTheme="minorEastAsia" w:cs="Arial"/>
        </w:rPr>
        <w:t>ie Schwierigkeiten Geflüchteter</w:t>
      </w:r>
      <w:r w:rsidR="001E63A1">
        <w:rPr>
          <w:rFonts w:eastAsiaTheme="minorEastAsia" w:cs="Arial"/>
        </w:rPr>
        <w:t>, ohne eine intensive Unterstützung</w:t>
      </w:r>
      <w:r w:rsidR="00A31818">
        <w:rPr>
          <w:rFonts w:eastAsiaTheme="minorEastAsia" w:cs="Arial"/>
        </w:rPr>
        <w:t xml:space="preserve"> </w:t>
      </w:r>
      <w:r w:rsidR="001E63A1">
        <w:rPr>
          <w:rFonts w:eastAsiaTheme="minorEastAsia" w:cs="Arial"/>
        </w:rPr>
        <w:t xml:space="preserve">an Schulen und Berufsschulen mitzuhalten, </w:t>
      </w:r>
      <w:r w:rsidR="00951983">
        <w:rPr>
          <w:rFonts w:eastAsiaTheme="minorEastAsia" w:cs="Arial"/>
        </w:rPr>
        <w:t xml:space="preserve">wurden in den letzten Jahren in Stuttgart an verschiedenen Stellen bereits </w:t>
      </w:r>
      <w:r>
        <w:rPr>
          <w:rFonts w:eastAsiaTheme="minorEastAsia" w:cs="Arial"/>
        </w:rPr>
        <w:t>erkennbar</w:t>
      </w:r>
      <w:r w:rsidR="00951983">
        <w:rPr>
          <w:rFonts w:eastAsiaTheme="minorEastAsia" w:cs="Arial"/>
        </w:rPr>
        <w:t xml:space="preserve"> und diskutiert.</w:t>
      </w:r>
      <w:r w:rsidR="00A31818">
        <w:rPr>
          <w:rFonts w:eastAsiaTheme="minorEastAsia" w:cs="Arial"/>
        </w:rPr>
        <w:t xml:space="preserve"> </w:t>
      </w:r>
      <w:r w:rsidR="001E63A1">
        <w:rPr>
          <w:rFonts w:eastAsiaTheme="minorEastAsia" w:cs="Arial"/>
        </w:rPr>
        <w:t>Um Integrationserfolge zu ermöglichen und abzusichern</w:t>
      </w:r>
      <w:r w:rsidR="00684C35">
        <w:rPr>
          <w:rFonts w:eastAsiaTheme="minorEastAsia" w:cs="Arial"/>
        </w:rPr>
        <w:t>,</w:t>
      </w:r>
      <w:r w:rsidR="001E63A1">
        <w:rPr>
          <w:rFonts w:eastAsiaTheme="minorEastAsia" w:cs="Arial"/>
        </w:rPr>
        <w:t xml:space="preserve"> muss e</w:t>
      </w:r>
      <w:r w:rsidR="00A31818">
        <w:rPr>
          <w:rFonts w:eastAsiaTheme="minorEastAsia" w:cs="Arial"/>
        </w:rPr>
        <w:t>ine nachhaltige gesellschaftliche Integration Geflüchteter</w:t>
      </w:r>
      <w:r w:rsidR="001E63A1">
        <w:rPr>
          <w:rFonts w:eastAsiaTheme="minorEastAsia" w:cs="Arial"/>
        </w:rPr>
        <w:t xml:space="preserve"> </w:t>
      </w:r>
      <w:r w:rsidR="00A31818">
        <w:rPr>
          <w:rFonts w:eastAsiaTheme="minorEastAsia" w:cs="Arial"/>
        </w:rPr>
        <w:t xml:space="preserve">früh </w:t>
      </w:r>
      <w:r w:rsidR="00DA2A74">
        <w:rPr>
          <w:rFonts w:eastAsiaTheme="minorEastAsia" w:cs="Arial"/>
        </w:rPr>
        <w:t xml:space="preserve">in den Regelsystemen im schulischen und beruflichen Bildungsbereich, die für diesen Personenkreis teilweise nicht ausreichend ausgestaltet sind, </w:t>
      </w:r>
      <w:r w:rsidR="00A31818">
        <w:rPr>
          <w:rFonts w:eastAsiaTheme="minorEastAsia" w:cs="Arial"/>
        </w:rPr>
        <w:t>ansetzen</w:t>
      </w:r>
      <w:r w:rsidR="00DA2A74">
        <w:rPr>
          <w:rFonts w:eastAsiaTheme="minorEastAsia" w:cs="Arial"/>
        </w:rPr>
        <w:t>.</w:t>
      </w:r>
      <w:r w:rsidR="00A31818">
        <w:rPr>
          <w:rFonts w:eastAsiaTheme="minorEastAsia" w:cs="Arial"/>
        </w:rPr>
        <w:t xml:space="preserve"> </w:t>
      </w:r>
      <w:r w:rsidR="00DA2A74">
        <w:rPr>
          <w:rFonts w:eastAsiaTheme="minorEastAsia" w:cs="Arial"/>
        </w:rPr>
        <w:t>Wirkung entfaltet dabei insbesondere</w:t>
      </w:r>
      <w:r w:rsidR="001E63A1">
        <w:rPr>
          <w:rFonts w:eastAsiaTheme="minorEastAsia" w:cs="Arial"/>
        </w:rPr>
        <w:t xml:space="preserve"> eine </w:t>
      </w:r>
      <w:r w:rsidR="00DA2A74">
        <w:rPr>
          <w:rFonts w:eastAsiaTheme="minorEastAsia" w:cs="Arial"/>
        </w:rPr>
        <w:t>bedarfsgerechte, engmaschige</w:t>
      </w:r>
      <w:r w:rsidR="001E63A1">
        <w:rPr>
          <w:rFonts w:eastAsiaTheme="minorEastAsia" w:cs="Arial"/>
        </w:rPr>
        <w:t xml:space="preserve"> </w:t>
      </w:r>
      <w:r w:rsidR="00DA2A74">
        <w:rPr>
          <w:rFonts w:eastAsiaTheme="minorEastAsia" w:cs="Arial"/>
        </w:rPr>
        <w:t xml:space="preserve">und zielgerichtete </w:t>
      </w:r>
      <w:r w:rsidR="001E63A1">
        <w:rPr>
          <w:rFonts w:eastAsiaTheme="minorEastAsia" w:cs="Arial"/>
        </w:rPr>
        <w:t xml:space="preserve">Begleitung </w:t>
      </w:r>
      <w:r w:rsidR="00DA2A74">
        <w:rPr>
          <w:rFonts w:eastAsiaTheme="minorEastAsia" w:cs="Arial"/>
        </w:rPr>
        <w:t xml:space="preserve">und Unterstützung </w:t>
      </w:r>
      <w:r w:rsidR="001E63A1">
        <w:rPr>
          <w:rFonts w:eastAsiaTheme="minorEastAsia" w:cs="Arial"/>
        </w:rPr>
        <w:t>der Betroffenen.</w:t>
      </w:r>
    </w:p>
    <w:p w14:paraId="1CD4CF77" w14:textId="77777777" w:rsidR="00EF709F" w:rsidRDefault="00EF709F" w:rsidP="006F2C1E">
      <w:pPr>
        <w:rPr>
          <w:rFonts w:eastAsiaTheme="minorEastAsia" w:cs="Arial"/>
        </w:rPr>
      </w:pPr>
    </w:p>
    <w:p w14:paraId="2B27D3FC" w14:textId="3ED2FAC1" w:rsidR="00771F4C" w:rsidRDefault="00771F4C" w:rsidP="006F2C1E">
      <w:pPr>
        <w:rPr>
          <w:rFonts w:eastAsiaTheme="minorEastAsia" w:cs="Arial"/>
        </w:rPr>
      </w:pPr>
      <w:r w:rsidRPr="007F6B8A">
        <w:rPr>
          <w:rFonts w:eastAsiaTheme="minorEastAsia" w:cs="Arial"/>
        </w:rPr>
        <w:t xml:space="preserve">In der Personalbedarfsberechnung der </w:t>
      </w:r>
      <w:proofErr w:type="spellStart"/>
      <w:r w:rsidRPr="007F6B8A">
        <w:rPr>
          <w:rFonts w:cs="Arial"/>
        </w:rPr>
        <w:t>pAp</w:t>
      </w:r>
      <w:proofErr w:type="spellEnd"/>
      <w:r w:rsidRPr="007F6B8A">
        <w:rPr>
          <w:rFonts w:eastAsiaTheme="minorEastAsia" w:cs="Arial"/>
        </w:rPr>
        <w:t xml:space="preserve"> im Bereich der unter 25-Jährigen </w:t>
      </w:r>
      <w:r w:rsidR="008A2B8B" w:rsidRPr="007F6B8A">
        <w:rPr>
          <w:rFonts w:eastAsiaTheme="minorEastAsia" w:cs="Arial"/>
        </w:rPr>
        <w:t>bleiben</w:t>
      </w:r>
      <w:r w:rsidRPr="007F6B8A">
        <w:rPr>
          <w:rFonts w:eastAsiaTheme="minorEastAsia" w:cs="Arial"/>
        </w:rPr>
        <w:t xml:space="preserve"> bisher die so gen</w:t>
      </w:r>
      <w:r w:rsidR="003165B1">
        <w:rPr>
          <w:rFonts w:eastAsiaTheme="minorEastAsia" w:cs="Arial"/>
        </w:rPr>
        <w:t>annten „Nichtaktivierungskunden/-</w:t>
      </w:r>
      <w:r w:rsidRPr="007F6B8A">
        <w:rPr>
          <w:rFonts w:eastAsiaTheme="minorEastAsia" w:cs="Arial"/>
        </w:rPr>
        <w:t>innen“ zu 75</w:t>
      </w:r>
      <w:r w:rsidR="003165B1">
        <w:rPr>
          <w:rFonts w:eastAsiaTheme="minorEastAsia" w:cs="Arial"/>
        </w:rPr>
        <w:t xml:space="preserve"> </w:t>
      </w:r>
      <w:r w:rsidRPr="007F6B8A">
        <w:rPr>
          <w:rFonts w:eastAsiaTheme="minorEastAsia" w:cs="Arial"/>
        </w:rPr>
        <w:t>% unberücksichtigt. Diese Vorgehensweise stützte sich bisher auf die These, dass bei unter 25</w:t>
      </w:r>
      <w:r w:rsidR="008A2B8B" w:rsidRPr="007F6B8A">
        <w:rPr>
          <w:rFonts w:eastAsiaTheme="minorEastAsia" w:cs="Arial"/>
        </w:rPr>
        <w:t>-Jährigen insbesondere Schüle</w:t>
      </w:r>
      <w:r w:rsidR="00684C35">
        <w:rPr>
          <w:rFonts w:eastAsiaTheme="minorEastAsia" w:cs="Arial"/>
        </w:rPr>
        <w:t>r</w:t>
      </w:r>
      <w:r w:rsidR="003165B1">
        <w:rPr>
          <w:rFonts w:eastAsiaTheme="minorEastAsia" w:cs="Arial"/>
        </w:rPr>
        <w:t>/-</w:t>
      </w:r>
      <w:r w:rsidRPr="007F6B8A">
        <w:rPr>
          <w:rFonts w:eastAsiaTheme="minorEastAsia" w:cs="Arial"/>
        </w:rPr>
        <w:t>innen ab 15 Jahren im Regelschulsystem verortet sind und daher keiner weitergehenden Beratung bedürfen</w:t>
      </w:r>
      <w:r w:rsidR="00F55162">
        <w:rPr>
          <w:rFonts w:eastAsiaTheme="minorEastAsia" w:cs="Arial"/>
        </w:rPr>
        <w:t>,</w:t>
      </w:r>
      <w:r w:rsidR="00740E0B">
        <w:rPr>
          <w:rFonts w:eastAsiaTheme="minorEastAsia" w:cs="Arial"/>
        </w:rPr>
        <w:t xml:space="preserve"> was speziell bei den jungen geflüchteten Menschen nichtzutreffend ist</w:t>
      </w:r>
      <w:r w:rsidRPr="007F6B8A">
        <w:rPr>
          <w:rFonts w:eastAsiaTheme="minorEastAsia" w:cs="Arial"/>
        </w:rPr>
        <w:t xml:space="preserve">. Die zweite große Gruppe, die der erziehenden Mütter unter 25 Jahren mit Kindern unter 3 Jahren, </w:t>
      </w:r>
      <w:r w:rsidR="008A2B8B" w:rsidRPr="007F6B8A">
        <w:rPr>
          <w:rFonts w:eastAsiaTheme="minorEastAsia" w:cs="Arial"/>
        </w:rPr>
        <w:t>bleibt</w:t>
      </w:r>
      <w:r w:rsidRPr="007F6B8A">
        <w:rPr>
          <w:rFonts w:eastAsiaTheme="minorEastAsia" w:cs="Arial"/>
        </w:rPr>
        <w:t xml:space="preserve"> in gleichem Maße unberücksichtigt, da unterstellt wird, dass diese ohne weiteren Beratungsbedarf nach der Elternzeit wieder</w:t>
      </w:r>
      <w:r w:rsidR="00335E84">
        <w:rPr>
          <w:rFonts w:eastAsiaTheme="minorEastAsia" w:cs="Arial"/>
        </w:rPr>
        <w:t xml:space="preserve"> in den Arbeitsmarkt einmünden.</w:t>
      </w:r>
    </w:p>
    <w:p w14:paraId="31FC3686" w14:textId="77777777" w:rsidR="00EF709F" w:rsidRPr="007F6B8A" w:rsidRDefault="00EF709F" w:rsidP="006F2C1E">
      <w:pPr>
        <w:rPr>
          <w:rFonts w:eastAsiaTheme="minorEastAsia" w:cs="Arial"/>
        </w:rPr>
      </w:pPr>
    </w:p>
    <w:p w14:paraId="33C49390" w14:textId="1FC75B06" w:rsidR="00771F4C" w:rsidRPr="007F6B8A" w:rsidRDefault="00771F4C" w:rsidP="006F2C1E">
      <w:pPr>
        <w:rPr>
          <w:rFonts w:eastAsiaTheme="minorEastAsia" w:cs="Arial"/>
        </w:rPr>
      </w:pPr>
      <w:r w:rsidRPr="007F6B8A">
        <w:rPr>
          <w:rFonts w:eastAsiaTheme="minorEastAsia" w:cs="Arial"/>
        </w:rPr>
        <w:t>Beide Gruppen sind insgesamt mit rund 95</w:t>
      </w:r>
      <w:r w:rsidR="003165B1">
        <w:rPr>
          <w:rFonts w:eastAsiaTheme="minorEastAsia" w:cs="Arial"/>
        </w:rPr>
        <w:t xml:space="preserve"> </w:t>
      </w:r>
      <w:r w:rsidRPr="007F6B8A">
        <w:rPr>
          <w:rFonts w:eastAsiaTheme="minorEastAsia" w:cs="Arial"/>
        </w:rPr>
        <w:t>% die am stärksten vertretenen Personengruppen b</w:t>
      </w:r>
      <w:r w:rsidR="004E2345" w:rsidRPr="007F6B8A">
        <w:rPr>
          <w:rFonts w:eastAsiaTheme="minorEastAsia" w:cs="Arial"/>
        </w:rPr>
        <w:t>ei den „Nichtaktivierungskunden</w:t>
      </w:r>
      <w:r w:rsidR="003165B1">
        <w:rPr>
          <w:rFonts w:eastAsiaTheme="minorEastAsia" w:cs="Arial"/>
        </w:rPr>
        <w:t>/-</w:t>
      </w:r>
      <w:r w:rsidR="004E2345" w:rsidRPr="007F6B8A">
        <w:rPr>
          <w:rFonts w:eastAsiaTheme="minorEastAsia" w:cs="Arial"/>
        </w:rPr>
        <w:t>i</w:t>
      </w:r>
      <w:r w:rsidRPr="007F6B8A">
        <w:rPr>
          <w:rFonts w:eastAsiaTheme="minorEastAsia" w:cs="Arial"/>
        </w:rPr>
        <w:t>nnen“ bei den geflüchteten Menschen.</w:t>
      </w:r>
    </w:p>
    <w:p w14:paraId="175DCFD6" w14:textId="294E92A1" w:rsidR="00771F4C" w:rsidRDefault="00740E0B" w:rsidP="006F2C1E">
      <w:pPr>
        <w:rPr>
          <w:rFonts w:eastAsiaTheme="minorEastAsia" w:cs="Arial"/>
        </w:rPr>
      </w:pPr>
      <w:r>
        <w:rPr>
          <w:rFonts w:eastAsiaTheme="minorEastAsia" w:cs="Arial"/>
        </w:rPr>
        <w:t>Auch a</w:t>
      </w:r>
      <w:r w:rsidR="00771F4C" w:rsidRPr="007F6B8A">
        <w:rPr>
          <w:rFonts w:eastAsiaTheme="minorEastAsia" w:cs="Arial"/>
        </w:rPr>
        <w:t>ktuelle wissenschaftliche Studien, Erkenntnisse aus der Flüchtlingsarbeit im Jobcenter sowie Rückmeldungen aus dem Regelschulsystem belegen, dass gerade bei diesen beiden Personengruppen ein sehr ausgeprägter Handlungs- und Beratungsbedarf besteht. So gelingt</w:t>
      </w:r>
      <w:r w:rsidR="003165B1">
        <w:rPr>
          <w:rFonts w:eastAsiaTheme="minorEastAsia" w:cs="Arial"/>
        </w:rPr>
        <w:t xml:space="preserve"> es einer Mehrzahl der Schüler/-</w:t>
      </w:r>
      <w:r w:rsidR="00771F4C" w:rsidRPr="007F6B8A">
        <w:rPr>
          <w:rFonts w:eastAsiaTheme="minorEastAsia" w:cs="Arial"/>
        </w:rPr>
        <w:t>innen mit Fluchthintergrund nicht, die erforderliche Ausbildungsreife über das Regelschulsystem zu erlangen. Beratung und unverzügliche Akquise von</w:t>
      </w:r>
      <w:r w:rsidR="00684C35">
        <w:rPr>
          <w:rFonts w:eastAsiaTheme="minorEastAsia" w:cs="Arial"/>
        </w:rPr>
        <w:t xml:space="preserve"> Unterstützungsleistungen ist im hohen</w:t>
      </w:r>
      <w:r w:rsidR="00335E84">
        <w:rPr>
          <w:rFonts w:eastAsiaTheme="minorEastAsia" w:cs="Arial"/>
        </w:rPr>
        <w:t xml:space="preserve"> Maße erforderlich.</w:t>
      </w:r>
    </w:p>
    <w:p w14:paraId="04FAF407" w14:textId="77777777" w:rsidR="00EF709F" w:rsidRPr="007F6B8A" w:rsidRDefault="00EF709F" w:rsidP="006F2C1E">
      <w:pPr>
        <w:rPr>
          <w:rFonts w:eastAsiaTheme="minorEastAsia" w:cs="Arial"/>
        </w:rPr>
      </w:pPr>
    </w:p>
    <w:p w14:paraId="2A705542" w14:textId="77777777" w:rsidR="00771F4C" w:rsidRDefault="00771F4C" w:rsidP="006F2C1E">
      <w:pPr>
        <w:rPr>
          <w:rFonts w:eastAsiaTheme="minorEastAsia" w:cs="Arial"/>
        </w:rPr>
      </w:pPr>
      <w:r w:rsidRPr="007F6B8A">
        <w:rPr>
          <w:rFonts w:eastAsiaTheme="minorEastAsia" w:cs="Arial"/>
        </w:rPr>
        <w:t>Geflüchtete erziehende Mütter unter 25 Jahren sind oftmals durch tradierte Rollenbilder gefan</w:t>
      </w:r>
      <w:r w:rsidR="00335E84">
        <w:rPr>
          <w:rFonts w:eastAsiaTheme="minorEastAsia" w:cs="Arial"/>
        </w:rPr>
        <w:t xml:space="preserve">gen und nur schwer zugänglich. </w:t>
      </w:r>
      <w:r w:rsidRPr="007F6B8A">
        <w:rPr>
          <w:rFonts w:eastAsiaTheme="minorEastAsia" w:cs="Arial"/>
        </w:rPr>
        <w:t>Die Teilnahme an Alphabetisierungskursen oder Sprachkursen sowie die Organisation gesellschaftlicher Teilhabe muss daher schon frühzeitig in der Erziehungszeit mit teilweise hohem Beratungsaufwand und unter Berücksichtigung des gesamten Familiensystems organisiert werden. Auch die These, nach der Erziehungszeit wieder ohne größeren Beratungsaufwand in den erlernten Beruf zurückzukehren, ist bei der Gruppe der geflüchteten Frauen nicht einschlägig, da keine berufliche Vorerfahr</w:t>
      </w:r>
      <w:r w:rsidR="00335E84">
        <w:rPr>
          <w:rFonts w:eastAsiaTheme="minorEastAsia" w:cs="Arial"/>
        </w:rPr>
        <w:t>ung in Deutschland gegeben ist.</w:t>
      </w:r>
    </w:p>
    <w:p w14:paraId="32839EF7" w14:textId="77777777" w:rsidR="00BB72B8" w:rsidRPr="007F6B8A" w:rsidRDefault="00BB72B8" w:rsidP="006F2C1E">
      <w:pPr>
        <w:rPr>
          <w:rFonts w:eastAsiaTheme="minorEastAsia" w:cs="Arial"/>
        </w:rPr>
      </w:pPr>
    </w:p>
    <w:p w14:paraId="7E764956" w14:textId="44E5D54F" w:rsidR="00BB72B8" w:rsidRDefault="00771F4C" w:rsidP="006F2C1E">
      <w:pPr>
        <w:rPr>
          <w:rFonts w:eastAsiaTheme="minorEastAsia" w:cs="Arial"/>
        </w:rPr>
      </w:pPr>
      <w:r w:rsidRPr="007F6B8A">
        <w:rPr>
          <w:rFonts w:eastAsiaTheme="minorEastAsia" w:cs="Arial"/>
        </w:rPr>
        <w:t xml:space="preserve">Die gesamtgesellschaftlich gebotene Heranführung an Arbeit und Ausbildung dieser beiden Personengruppen sowie die Anbindung an Unterstützungsangebote und an gesellschaftliche Strukturen bedingen zwingend die Bereitstellung von Personalressourcen im Bereich der </w:t>
      </w:r>
      <w:proofErr w:type="spellStart"/>
      <w:r w:rsidRPr="007F6B8A">
        <w:rPr>
          <w:rFonts w:cs="Arial"/>
        </w:rPr>
        <w:t>pAp</w:t>
      </w:r>
      <w:proofErr w:type="spellEnd"/>
      <w:r w:rsidRPr="007F6B8A">
        <w:rPr>
          <w:rFonts w:eastAsiaTheme="minorEastAsia" w:cs="Arial"/>
        </w:rPr>
        <w:t xml:space="preserve"> in der Abteilung Migration und Teilhabe für diese Aufgaben. Das Jobcenter beantragt daher, im Bereich der geflüchteten Menschen die Personengrupp</w:t>
      </w:r>
      <w:r w:rsidR="003165B1">
        <w:rPr>
          <w:rFonts w:eastAsiaTheme="minorEastAsia" w:cs="Arial"/>
        </w:rPr>
        <w:t>e der „Nichtaktivierungskunden/-</w:t>
      </w:r>
      <w:r w:rsidR="004E2345" w:rsidRPr="007F6B8A">
        <w:rPr>
          <w:rFonts w:eastAsiaTheme="minorEastAsia" w:cs="Arial"/>
        </w:rPr>
        <w:t>i</w:t>
      </w:r>
      <w:r w:rsidRPr="007F6B8A">
        <w:rPr>
          <w:rFonts w:eastAsiaTheme="minorEastAsia" w:cs="Arial"/>
        </w:rPr>
        <w:t>nnen“ in vollem Umfang in die Personalbed</w:t>
      </w:r>
      <w:r w:rsidR="00335E84">
        <w:rPr>
          <w:rFonts w:eastAsiaTheme="minorEastAsia" w:cs="Arial"/>
        </w:rPr>
        <w:t>arfsberechnungen einzubeziehen.</w:t>
      </w:r>
    </w:p>
    <w:p w14:paraId="1AE85FC1" w14:textId="77777777" w:rsidR="00335E84" w:rsidRDefault="00335E84" w:rsidP="006F2C1E">
      <w:pPr>
        <w:rPr>
          <w:rFonts w:eastAsiaTheme="minorEastAsia" w:cs="Arial"/>
        </w:rPr>
      </w:pPr>
    </w:p>
    <w:p w14:paraId="5FAE3E29" w14:textId="002FCCE4" w:rsidR="00BB72B8" w:rsidRDefault="00D43001" w:rsidP="006F2C1E">
      <w:pPr>
        <w:rPr>
          <w:rFonts w:eastAsiaTheme="minorEastAsia" w:cs="Arial"/>
        </w:rPr>
      </w:pPr>
      <w:r>
        <w:rPr>
          <w:rFonts w:eastAsiaTheme="minorEastAsia" w:cs="Arial"/>
        </w:rPr>
        <w:t>Nach den bisherigen Prämissen</w:t>
      </w:r>
      <w:r w:rsidR="00DA2A74" w:rsidRPr="00DA2A74">
        <w:rPr>
          <w:rFonts w:eastAsiaTheme="minorEastAsia" w:cs="Arial"/>
        </w:rPr>
        <w:t xml:space="preserve"> </w:t>
      </w:r>
      <w:r w:rsidR="00DA2A74">
        <w:rPr>
          <w:rFonts w:eastAsiaTheme="minorEastAsia" w:cs="Arial"/>
        </w:rPr>
        <w:t>zur Berechnung, die den Lebensl</w:t>
      </w:r>
      <w:r>
        <w:rPr>
          <w:rFonts w:eastAsiaTheme="minorEastAsia" w:cs="Arial"/>
        </w:rPr>
        <w:t>agen allerdings nicht entsprechen, ergibt sich eine Anzahl</w:t>
      </w:r>
      <w:r w:rsidR="00771F4C" w:rsidRPr="007F6B8A">
        <w:rPr>
          <w:rFonts w:eastAsiaTheme="minorEastAsia" w:cs="Arial"/>
        </w:rPr>
        <w:t xml:space="preserve"> der in den Personalbedarfsberechnungen nicht berücksichtigten „Nichtaktivierungskunden</w:t>
      </w:r>
      <w:r w:rsidR="003165B1">
        <w:rPr>
          <w:rFonts w:eastAsiaTheme="minorEastAsia" w:cs="Arial"/>
        </w:rPr>
        <w:t>/-</w:t>
      </w:r>
      <w:r w:rsidR="00771F4C" w:rsidRPr="007F6B8A">
        <w:rPr>
          <w:rFonts w:eastAsiaTheme="minorEastAsia" w:cs="Arial"/>
        </w:rPr>
        <w:t xml:space="preserve">innen“ </w:t>
      </w:r>
      <w:r w:rsidR="00DA2A74">
        <w:rPr>
          <w:rFonts w:eastAsiaTheme="minorEastAsia" w:cs="Arial"/>
        </w:rPr>
        <w:t>von</w:t>
      </w:r>
      <w:r w:rsidR="00771F4C" w:rsidRPr="007F6B8A">
        <w:rPr>
          <w:rFonts w:eastAsiaTheme="minorEastAsia" w:cs="Arial"/>
        </w:rPr>
        <w:t xml:space="preserve"> </w:t>
      </w:r>
      <w:r w:rsidR="0011527C">
        <w:rPr>
          <w:rFonts w:eastAsiaTheme="minorEastAsia" w:cs="Arial"/>
        </w:rPr>
        <w:t xml:space="preserve">539 </w:t>
      </w:r>
      <w:r w:rsidR="00771F4C" w:rsidRPr="007F6B8A">
        <w:rPr>
          <w:rFonts w:eastAsiaTheme="minorEastAsia" w:cs="Arial"/>
        </w:rPr>
        <w:t xml:space="preserve">Personen </w:t>
      </w:r>
      <w:r w:rsidR="00262211">
        <w:rPr>
          <w:rFonts w:eastAsiaTheme="minorEastAsia" w:cs="Arial"/>
        </w:rPr>
        <w:t>(757</w:t>
      </w:r>
      <w:r w:rsidR="003165B1">
        <w:rPr>
          <w:rFonts w:eastAsiaTheme="minorEastAsia" w:cs="Arial"/>
        </w:rPr>
        <w:t xml:space="preserve"> Nichtaktivierungskunden/-</w:t>
      </w:r>
      <w:r w:rsidR="00F10BA4">
        <w:rPr>
          <w:rFonts w:eastAsiaTheme="minorEastAsia" w:cs="Arial"/>
        </w:rPr>
        <w:t>innen Gesamt</w:t>
      </w:r>
      <w:r w:rsidR="00262211">
        <w:rPr>
          <w:rFonts w:eastAsiaTheme="minorEastAsia" w:cs="Arial"/>
        </w:rPr>
        <w:t xml:space="preserve"> </w:t>
      </w:r>
      <w:r w:rsidR="00684C35">
        <w:rPr>
          <w:rFonts w:eastAsiaTheme="minorEastAsia" w:cs="Arial"/>
        </w:rPr>
        <w:t>x 75</w:t>
      </w:r>
      <w:r w:rsidR="003165B1">
        <w:rPr>
          <w:rFonts w:eastAsiaTheme="minorEastAsia" w:cs="Arial"/>
        </w:rPr>
        <w:t xml:space="preserve"> </w:t>
      </w:r>
      <w:r w:rsidR="00684C35">
        <w:rPr>
          <w:rFonts w:eastAsiaTheme="minorEastAsia" w:cs="Arial"/>
        </w:rPr>
        <w:t xml:space="preserve">% </w:t>
      </w:r>
      <w:r w:rsidR="00262211">
        <w:rPr>
          <w:rFonts w:eastAsiaTheme="minorEastAsia" w:cs="Arial"/>
        </w:rPr>
        <w:t>x 95</w:t>
      </w:r>
      <w:r w:rsidR="003165B1">
        <w:rPr>
          <w:rFonts w:eastAsiaTheme="minorEastAsia" w:cs="Arial"/>
        </w:rPr>
        <w:t xml:space="preserve"> </w:t>
      </w:r>
      <w:r w:rsidR="00684C35">
        <w:rPr>
          <w:rFonts w:eastAsiaTheme="minorEastAsia" w:cs="Arial"/>
        </w:rPr>
        <w:t>%)</w:t>
      </w:r>
      <w:r w:rsidR="00771F4C" w:rsidRPr="007F6B8A">
        <w:rPr>
          <w:rFonts w:eastAsiaTheme="minorEastAsia" w:cs="Arial"/>
        </w:rPr>
        <w:t>.</w:t>
      </w:r>
      <w:r w:rsidR="00262211">
        <w:rPr>
          <w:rFonts w:eastAsiaTheme="minorEastAsia" w:cs="Arial"/>
        </w:rPr>
        <w:t xml:space="preserve"> Dem zugrunde liegt die Annahme, dass die Entwicklung dieser Zahlen</w:t>
      </w:r>
      <w:r w:rsidR="003165B1">
        <w:rPr>
          <w:rFonts w:eastAsiaTheme="minorEastAsia" w:cs="Arial"/>
        </w:rPr>
        <w:t xml:space="preserve"> – </w:t>
      </w:r>
      <w:r w:rsidR="00262211">
        <w:rPr>
          <w:rFonts w:eastAsiaTheme="minorEastAsia" w:cs="Arial"/>
        </w:rPr>
        <w:t>wie auch die Entwicklung in den Vorjahren</w:t>
      </w:r>
      <w:r w:rsidR="003165B1">
        <w:rPr>
          <w:rFonts w:eastAsiaTheme="minorEastAsia" w:cs="Arial"/>
        </w:rPr>
        <w:t xml:space="preserve"> –</w:t>
      </w:r>
      <w:r w:rsidR="00262211">
        <w:rPr>
          <w:rFonts w:eastAsiaTheme="minorEastAsia" w:cs="Arial"/>
        </w:rPr>
        <w:t xml:space="preserve"> konstant bleibt.</w:t>
      </w:r>
    </w:p>
    <w:p w14:paraId="3A939CF0" w14:textId="77777777" w:rsidR="00BB72B8" w:rsidRDefault="00BB72B8" w:rsidP="006F2C1E">
      <w:pPr>
        <w:rPr>
          <w:rFonts w:eastAsiaTheme="minorEastAsia" w:cs="Arial"/>
        </w:rPr>
      </w:pPr>
    </w:p>
    <w:p w14:paraId="4BF86832" w14:textId="0F9329D5" w:rsidR="006F0FCB" w:rsidRDefault="006F0FCB" w:rsidP="006F2C1E">
      <w:pPr>
        <w:rPr>
          <w:rFonts w:eastAsiaTheme="minorEastAsia" w:cs="Arial"/>
        </w:rPr>
      </w:pPr>
      <w:r>
        <w:rPr>
          <w:rFonts w:eastAsiaTheme="minorEastAsia" w:cs="Arial"/>
        </w:rPr>
        <w:t>Hintergrund dieser Annahme ist die Beobachtung, dass die Familiengrößen bei den Geflüchteten stetig zunehmen und daher auch im</w:t>
      </w:r>
      <w:r w:rsidR="003165B1">
        <w:rPr>
          <w:rFonts w:eastAsiaTheme="minorEastAsia" w:cs="Arial"/>
        </w:rPr>
        <w:t>mer mehr Schü</w:t>
      </w:r>
      <w:r>
        <w:rPr>
          <w:rFonts w:eastAsiaTheme="minorEastAsia" w:cs="Arial"/>
        </w:rPr>
        <w:t>ler</w:t>
      </w:r>
      <w:r w:rsidR="003165B1">
        <w:rPr>
          <w:rFonts w:eastAsiaTheme="minorEastAsia" w:cs="Arial"/>
        </w:rPr>
        <w:t>/-innen die Schulabgänger/-</w:t>
      </w:r>
      <w:r>
        <w:rPr>
          <w:rFonts w:eastAsiaTheme="minorEastAsia" w:cs="Arial"/>
        </w:rPr>
        <w:t>innen kompensieren. Liegt der Durchschnitt der Anzahl der Leistungsberechtigten pro Bedarfsgemeinschaft bei den „klassischen“ Zweigstellen bei 1,8</w:t>
      </w:r>
      <w:r w:rsidR="00F55162">
        <w:rPr>
          <w:rFonts w:eastAsiaTheme="minorEastAsia" w:cs="Arial"/>
        </w:rPr>
        <w:t>,</w:t>
      </w:r>
      <w:r>
        <w:rPr>
          <w:rFonts w:eastAsiaTheme="minorEastAsia" w:cs="Arial"/>
        </w:rPr>
        <w:t xml:space="preserve"> </w:t>
      </w:r>
      <w:r w:rsidR="00B55D8B">
        <w:rPr>
          <w:rFonts w:eastAsiaTheme="minorEastAsia" w:cs="Arial"/>
        </w:rPr>
        <w:t>so sind diese in der Abteilung Migration und Teilhabe</w:t>
      </w:r>
      <w:r>
        <w:rPr>
          <w:rFonts w:eastAsiaTheme="minorEastAsia" w:cs="Arial"/>
        </w:rPr>
        <w:t xml:space="preserve"> bei 2,45 und das</w:t>
      </w:r>
      <w:r w:rsidR="003165B1">
        <w:rPr>
          <w:rFonts w:eastAsiaTheme="minorEastAsia" w:cs="Arial"/>
        </w:rPr>
        <w:t>,</w:t>
      </w:r>
      <w:r>
        <w:rPr>
          <w:rFonts w:eastAsiaTheme="minorEastAsia" w:cs="Arial"/>
        </w:rPr>
        <w:t xml:space="preserve"> obwohl es innerhalb der Abteilung einen hohen Anteil von </w:t>
      </w:r>
      <w:r w:rsidR="00B55D8B">
        <w:rPr>
          <w:rFonts w:eastAsiaTheme="minorEastAsia" w:cs="Arial"/>
        </w:rPr>
        <w:t>Bedarfsgemeinschaften mit einer Person</w:t>
      </w:r>
      <w:r>
        <w:rPr>
          <w:rFonts w:eastAsiaTheme="minorEastAsia" w:cs="Arial"/>
        </w:rPr>
        <w:t xml:space="preserve"> (insbesondere junge geflüchtete Männer) gibt. </w:t>
      </w:r>
      <w:r w:rsidR="0013584D">
        <w:rPr>
          <w:rFonts w:eastAsiaTheme="minorEastAsia" w:cs="Arial"/>
        </w:rPr>
        <w:t xml:space="preserve">Hinzu kommen Familiennachzüge. </w:t>
      </w:r>
      <w:r>
        <w:rPr>
          <w:rFonts w:eastAsiaTheme="minorEastAsia" w:cs="Arial"/>
        </w:rPr>
        <w:t>Dies</w:t>
      </w:r>
      <w:r w:rsidR="0013584D">
        <w:rPr>
          <w:rFonts w:eastAsiaTheme="minorEastAsia" w:cs="Arial"/>
        </w:rPr>
        <w:t>e Erkenntnisse</w:t>
      </w:r>
      <w:r>
        <w:rPr>
          <w:rFonts w:eastAsiaTheme="minorEastAsia" w:cs="Arial"/>
        </w:rPr>
        <w:t xml:space="preserve"> </w:t>
      </w:r>
      <w:r w:rsidR="0013584D">
        <w:rPr>
          <w:rFonts w:eastAsiaTheme="minorEastAsia" w:cs="Arial"/>
        </w:rPr>
        <w:t>unterstreichen</w:t>
      </w:r>
      <w:r>
        <w:rPr>
          <w:rFonts w:eastAsiaTheme="minorEastAsia" w:cs="Arial"/>
        </w:rPr>
        <w:t xml:space="preserve"> die</w:t>
      </w:r>
      <w:r w:rsidR="0013584D">
        <w:rPr>
          <w:rFonts w:eastAsiaTheme="minorEastAsia" w:cs="Arial"/>
        </w:rPr>
        <w:t xml:space="preserve"> weiterhin gültige</w:t>
      </w:r>
      <w:r>
        <w:rPr>
          <w:rFonts w:eastAsiaTheme="minorEastAsia" w:cs="Arial"/>
        </w:rPr>
        <w:t xml:space="preserve"> Tendenz zur Großfamilie bei den Geflüchteten und die oben getroffene Annah</w:t>
      </w:r>
      <w:r w:rsidR="003165B1">
        <w:rPr>
          <w:rFonts w:eastAsiaTheme="minorEastAsia" w:cs="Arial"/>
        </w:rPr>
        <w:t>me, dass die Anzahl der Schüler/-</w:t>
      </w:r>
      <w:r>
        <w:rPr>
          <w:rFonts w:eastAsiaTheme="minorEastAsia" w:cs="Arial"/>
        </w:rPr>
        <w:t xml:space="preserve">innen und der erziehenden Mütter auch in </w:t>
      </w:r>
      <w:r w:rsidR="00335E84">
        <w:rPr>
          <w:rFonts w:eastAsiaTheme="minorEastAsia" w:cs="Arial"/>
        </w:rPr>
        <w:t>den Folgejahren hoch sein wird.</w:t>
      </w:r>
    </w:p>
    <w:p w14:paraId="13C22B2C" w14:textId="77777777" w:rsidR="00BB72B8" w:rsidRDefault="00BB72B8" w:rsidP="006F2C1E">
      <w:pPr>
        <w:rPr>
          <w:rFonts w:eastAsiaTheme="minorEastAsia" w:cs="Arial"/>
        </w:rPr>
      </w:pPr>
    </w:p>
    <w:p w14:paraId="1AFEE4C5" w14:textId="05121380" w:rsidR="0013584D" w:rsidRDefault="0013584D" w:rsidP="006F2C1E">
      <w:pPr>
        <w:rPr>
          <w:rFonts w:eastAsiaTheme="minorEastAsia" w:cs="Arial"/>
        </w:rPr>
      </w:pPr>
      <w:r>
        <w:rPr>
          <w:rFonts w:eastAsiaTheme="minorEastAsia" w:cs="Arial"/>
        </w:rPr>
        <w:t>Erste sehr vielversprechende Ansätze einer frühzeitigen Beratung von Schüler</w:t>
      </w:r>
      <w:r w:rsidR="00F55162">
        <w:rPr>
          <w:rFonts w:eastAsiaTheme="minorEastAsia" w:cs="Arial"/>
        </w:rPr>
        <w:t>n</w:t>
      </w:r>
      <w:bookmarkStart w:id="0" w:name="_GoBack"/>
      <w:bookmarkEnd w:id="0"/>
      <w:r w:rsidR="003165B1">
        <w:rPr>
          <w:rFonts w:eastAsiaTheme="minorEastAsia" w:cs="Arial"/>
        </w:rPr>
        <w:t>/-</w:t>
      </w:r>
      <w:r>
        <w:rPr>
          <w:rFonts w:eastAsiaTheme="minorEastAsia" w:cs="Arial"/>
        </w:rPr>
        <w:t xml:space="preserve">innen zeigen die Ergebnisse der drei </w:t>
      </w:r>
      <w:proofErr w:type="spellStart"/>
      <w:r>
        <w:rPr>
          <w:rFonts w:eastAsiaTheme="minorEastAsia" w:cs="Arial"/>
        </w:rPr>
        <w:t>pAp</w:t>
      </w:r>
      <w:proofErr w:type="spellEnd"/>
      <w:r>
        <w:rPr>
          <w:rFonts w:eastAsiaTheme="minorEastAsia" w:cs="Arial"/>
        </w:rPr>
        <w:t xml:space="preserve"> im Ausbildungscampus auf, die bereits speziell mit dieser Personengruppe arbeiten. </w:t>
      </w:r>
      <w:r w:rsidR="00BC2D2E">
        <w:rPr>
          <w:rFonts w:eastAsiaTheme="minorEastAsia" w:cs="Arial"/>
        </w:rPr>
        <w:t xml:space="preserve">Durch eine engmaschige Betreuung konnten Nachhilfeleistungen aus dem Bildungs- und Teilhabepaket adressatengerecht vermittelt werden, durch Einzelinterventionen Schulabbrüche verhindert und Ausbildungsaufnahmen gefördert </w:t>
      </w:r>
      <w:r w:rsidR="00DA2A74">
        <w:rPr>
          <w:rFonts w:eastAsiaTheme="minorEastAsia" w:cs="Arial"/>
        </w:rPr>
        <w:t xml:space="preserve">und deren Nachhaltigkeit unterstützt </w:t>
      </w:r>
      <w:r w:rsidR="00BC2D2E">
        <w:rPr>
          <w:rFonts w:eastAsiaTheme="minorEastAsia" w:cs="Arial"/>
        </w:rPr>
        <w:t xml:space="preserve">werden. Auch bei dem gesamtstädtischen Projekt zur Stabilisierung der Ausbildungsverhältnisse von Neuzugewanderten konnte ein wichtiger Beitrag geleistet werden. Durch die Stabilisierung der Ausbildungsverhältnisse gab es bei den vom Jobcenter betreuten Auszubildenden eine weit unterdurchschnittliche Abbruchquote.  </w:t>
      </w:r>
    </w:p>
    <w:p w14:paraId="3F9B0C5E" w14:textId="77777777" w:rsidR="00BB72B8" w:rsidRPr="007F6B8A" w:rsidRDefault="00BB72B8" w:rsidP="006F2C1E">
      <w:pPr>
        <w:rPr>
          <w:rFonts w:eastAsiaTheme="minorEastAsia" w:cs="Arial"/>
        </w:rPr>
      </w:pPr>
    </w:p>
    <w:p w14:paraId="3A3651D5" w14:textId="77777777" w:rsidR="00771F4C" w:rsidRDefault="00A86967" w:rsidP="006F2C1E">
      <w:pPr>
        <w:rPr>
          <w:rFonts w:eastAsiaTheme="minorEastAsia" w:cs="Arial"/>
        </w:rPr>
      </w:pPr>
      <w:r>
        <w:rPr>
          <w:rFonts w:eastAsiaTheme="minorEastAsia" w:cs="Arial"/>
        </w:rPr>
        <w:t xml:space="preserve">Der im Ausbildungscampus angewandte Betreuungsschlüssel hat sich in der Praxis bewährt. </w:t>
      </w:r>
      <w:r w:rsidR="00771F4C" w:rsidRPr="007F6B8A">
        <w:rPr>
          <w:rFonts w:eastAsiaTheme="minorEastAsia" w:cs="Arial"/>
        </w:rPr>
        <w:t xml:space="preserve">Bei </w:t>
      </w:r>
      <w:r>
        <w:rPr>
          <w:rFonts w:eastAsiaTheme="minorEastAsia" w:cs="Arial"/>
        </w:rPr>
        <w:t xml:space="preserve">der Anwendung </w:t>
      </w:r>
      <w:r w:rsidR="00262211">
        <w:rPr>
          <w:rFonts w:eastAsiaTheme="minorEastAsia" w:cs="Arial"/>
        </w:rPr>
        <w:t>dieses</w:t>
      </w:r>
      <w:r w:rsidR="00771F4C" w:rsidRPr="007F6B8A">
        <w:rPr>
          <w:rFonts w:eastAsiaTheme="minorEastAsia" w:cs="Arial"/>
        </w:rPr>
        <w:t xml:space="preserve"> Betreuungsschlüssel</w:t>
      </w:r>
      <w:r>
        <w:rPr>
          <w:rFonts w:eastAsiaTheme="minorEastAsia" w:cs="Arial"/>
        </w:rPr>
        <w:t>s</w:t>
      </w:r>
      <w:r w:rsidR="00771F4C" w:rsidRPr="007F6B8A">
        <w:rPr>
          <w:rFonts w:eastAsiaTheme="minorEastAsia" w:cs="Arial"/>
        </w:rPr>
        <w:t xml:space="preserve"> von 1:75 bei unter 25-Jährigen errechnet sich ein Personalbedarf von </w:t>
      </w:r>
      <w:r w:rsidR="00BB72B8" w:rsidRPr="00BB72B8">
        <w:rPr>
          <w:rFonts w:eastAsiaTheme="minorEastAsia" w:cs="Arial"/>
          <w:shd w:val="clear" w:color="auto" w:fill="FFFFFF" w:themeFill="background1"/>
        </w:rPr>
        <w:t>7,2</w:t>
      </w:r>
      <w:r w:rsidR="003F703D">
        <w:rPr>
          <w:rFonts w:eastAsiaTheme="minorEastAsia" w:cs="Arial"/>
          <w:shd w:val="clear" w:color="auto" w:fill="FFFFFF" w:themeFill="background1"/>
        </w:rPr>
        <w:t>0</w:t>
      </w:r>
      <w:r w:rsidR="00771F4C" w:rsidRPr="007F6B8A">
        <w:rPr>
          <w:rFonts w:eastAsiaTheme="minorEastAsia" w:cs="Arial"/>
        </w:rPr>
        <w:t xml:space="preserve"> Stellen. Davon abgezogen werden 3,0</w:t>
      </w:r>
      <w:r w:rsidR="003F703D">
        <w:rPr>
          <w:rFonts w:eastAsiaTheme="minorEastAsia" w:cs="Arial"/>
        </w:rPr>
        <w:t>0</w:t>
      </w:r>
      <w:r w:rsidR="00771F4C" w:rsidRPr="007F6B8A">
        <w:rPr>
          <w:rFonts w:eastAsiaTheme="minorEastAsia" w:cs="Arial"/>
        </w:rPr>
        <w:t xml:space="preserve"> Stellen, die bereits vom Gemeinderat für den Ausbildungscampus bewilligt wurden. Dadurch errechnet sich ein aktueller zusätzlicher Personalbedarf von </w:t>
      </w:r>
      <w:r w:rsidR="00BB72B8" w:rsidRPr="00BB72B8">
        <w:rPr>
          <w:rFonts w:eastAsiaTheme="minorEastAsia" w:cs="Arial"/>
        </w:rPr>
        <w:t>4,2</w:t>
      </w:r>
      <w:r w:rsidR="003F703D">
        <w:rPr>
          <w:rFonts w:eastAsiaTheme="minorEastAsia" w:cs="Arial"/>
        </w:rPr>
        <w:t>0</w:t>
      </w:r>
      <w:r w:rsidR="00771F4C" w:rsidRPr="007F6B8A">
        <w:rPr>
          <w:rFonts w:eastAsiaTheme="minorEastAsia" w:cs="Arial"/>
        </w:rPr>
        <w:t xml:space="preserve"> Stellen.</w:t>
      </w:r>
    </w:p>
    <w:p w14:paraId="50EE307E" w14:textId="77777777" w:rsidR="00C3257D" w:rsidRDefault="00C3257D" w:rsidP="006F2C1E">
      <w:pPr>
        <w:rPr>
          <w:rFonts w:eastAsiaTheme="minorEastAsia" w:cs="Arial"/>
        </w:rPr>
      </w:pPr>
    </w:p>
    <w:p w14:paraId="5CC742FD" w14:textId="77777777" w:rsidR="003D7B0B" w:rsidRPr="007F6B8A" w:rsidRDefault="003D7B0B" w:rsidP="00165C0D">
      <w:pPr>
        <w:pStyle w:val="berschrift2"/>
      </w:pPr>
      <w:r w:rsidRPr="007F6B8A">
        <w:t>3.2</w:t>
      </w:r>
      <w:r w:rsidRPr="007F6B8A">
        <w:tab/>
        <w:t>Bisherige Aufgabenwahrnehmung</w:t>
      </w:r>
    </w:p>
    <w:p w14:paraId="6361CF5B" w14:textId="77777777" w:rsidR="003D7B0B" w:rsidRPr="007F6B8A" w:rsidRDefault="003D7B0B" w:rsidP="00884D6C"/>
    <w:p w14:paraId="3A5CC208" w14:textId="21028895" w:rsidR="00771F4C" w:rsidRPr="007F6B8A" w:rsidRDefault="00771F4C" w:rsidP="00771F4C">
      <w:pPr>
        <w:rPr>
          <w:rFonts w:cs="Arial"/>
          <w:b/>
        </w:rPr>
      </w:pPr>
      <w:r w:rsidRPr="007F6B8A">
        <w:rPr>
          <w:rFonts w:cs="Arial"/>
        </w:rPr>
        <w:t>Da bisher nur 2</w:t>
      </w:r>
      <w:r w:rsidR="00506839" w:rsidRPr="007F6B8A">
        <w:rPr>
          <w:rFonts w:cs="Arial"/>
        </w:rPr>
        <w:t>5</w:t>
      </w:r>
      <w:r w:rsidR="003165B1">
        <w:rPr>
          <w:rFonts w:cs="Arial"/>
        </w:rPr>
        <w:t xml:space="preserve"> % der „Nichtaktivierungskunden/-</w:t>
      </w:r>
      <w:r w:rsidRPr="007F6B8A">
        <w:rPr>
          <w:rFonts w:cs="Arial"/>
        </w:rPr>
        <w:t xml:space="preserve">innen“ bei den Personalbedarfsberechnungen berücksichtigt werden, </w:t>
      </w:r>
      <w:r w:rsidR="007A3D40">
        <w:rPr>
          <w:rFonts w:cs="Arial"/>
        </w:rPr>
        <w:t>wird</w:t>
      </w:r>
      <w:r w:rsidRPr="007F6B8A">
        <w:rPr>
          <w:rFonts w:cs="Arial"/>
        </w:rPr>
        <w:t xml:space="preserve"> für </w:t>
      </w:r>
      <w:r w:rsidR="007A3D40">
        <w:rPr>
          <w:rFonts w:cs="Arial"/>
        </w:rPr>
        <w:t>viele der</w:t>
      </w:r>
      <w:r w:rsidRPr="007F6B8A">
        <w:rPr>
          <w:rFonts w:cs="Arial"/>
        </w:rPr>
        <w:t xml:space="preserve"> rund </w:t>
      </w:r>
      <w:r w:rsidR="000645A4">
        <w:rPr>
          <w:rFonts w:cs="Arial"/>
        </w:rPr>
        <w:t>750</w:t>
      </w:r>
      <w:r w:rsidRPr="007F6B8A">
        <w:rPr>
          <w:rFonts w:cs="Arial"/>
        </w:rPr>
        <w:t xml:space="preserve"> Kunden</w:t>
      </w:r>
      <w:r w:rsidR="003165B1">
        <w:rPr>
          <w:rFonts w:cs="Arial"/>
        </w:rPr>
        <w:t>/-</w:t>
      </w:r>
      <w:r w:rsidRPr="007F6B8A">
        <w:rPr>
          <w:rFonts w:cs="Arial"/>
        </w:rPr>
        <w:t xml:space="preserve">innen </w:t>
      </w:r>
      <w:r w:rsidR="007A3D40">
        <w:rPr>
          <w:rFonts w:cs="Arial"/>
        </w:rPr>
        <w:t>kein Betreuungspersonal zur Verfügung gestellt</w:t>
      </w:r>
      <w:r w:rsidRPr="007F6B8A">
        <w:rPr>
          <w:rFonts w:cs="Arial"/>
        </w:rPr>
        <w:t>. Die Be</w:t>
      </w:r>
      <w:r w:rsidR="00506839" w:rsidRPr="007F6B8A">
        <w:rPr>
          <w:rFonts w:cs="Arial"/>
        </w:rPr>
        <w:t>treuung dieser Kunden</w:t>
      </w:r>
      <w:r w:rsidR="003165B1">
        <w:rPr>
          <w:rFonts w:cs="Arial"/>
        </w:rPr>
        <w:t>/-</w:t>
      </w:r>
      <w:r w:rsidRPr="007F6B8A">
        <w:rPr>
          <w:rFonts w:cs="Arial"/>
        </w:rPr>
        <w:t xml:space="preserve">innen kann derzeit nicht oder nur unzureichend von den </w:t>
      </w:r>
      <w:r w:rsidR="00506839" w:rsidRPr="007F6B8A">
        <w:rPr>
          <w:rFonts w:cs="Arial"/>
        </w:rPr>
        <w:t>persönlichen Ansprechpartnern</w:t>
      </w:r>
      <w:r w:rsidR="003165B1">
        <w:rPr>
          <w:rFonts w:cs="Arial"/>
        </w:rPr>
        <w:t>/-</w:t>
      </w:r>
      <w:r w:rsidRPr="007F6B8A">
        <w:rPr>
          <w:rFonts w:cs="Arial"/>
        </w:rPr>
        <w:t>innen</w:t>
      </w:r>
      <w:r w:rsidR="007A3D40">
        <w:rPr>
          <w:rFonts w:cs="Arial"/>
        </w:rPr>
        <w:t xml:space="preserve"> im Ausbildungscampus oder den übrigen persönlichen Ansprechpartner</w:t>
      </w:r>
      <w:r w:rsidR="003165B1">
        <w:rPr>
          <w:rFonts w:cs="Arial"/>
        </w:rPr>
        <w:t>/-</w:t>
      </w:r>
      <w:r w:rsidR="007A3D40">
        <w:rPr>
          <w:rFonts w:cs="Arial"/>
        </w:rPr>
        <w:t>innen</w:t>
      </w:r>
      <w:r w:rsidRPr="007F6B8A">
        <w:rPr>
          <w:rFonts w:cs="Arial"/>
        </w:rPr>
        <w:t xml:space="preserve"> „miterledigt“ werden. </w:t>
      </w:r>
    </w:p>
    <w:p w14:paraId="138C7CEF" w14:textId="77777777" w:rsidR="006F2C1E" w:rsidRPr="007F6B8A" w:rsidRDefault="006F2C1E" w:rsidP="00884D6C"/>
    <w:p w14:paraId="1AAD1F4B" w14:textId="77777777" w:rsidR="003165B1" w:rsidRDefault="003165B1">
      <w:pPr>
        <w:rPr>
          <w:b/>
        </w:rPr>
      </w:pPr>
      <w:r>
        <w:br w:type="page"/>
      </w:r>
    </w:p>
    <w:p w14:paraId="0FA19001" w14:textId="55F1072D" w:rsidR="003D7B0B" w:rsidRPr="007F6B8A" w:rsidRDefault="006E0575" w:rsidP="00884D6C">
      <w:pPr>
        <w:pStyle w:val="berschrift2"/>
      </w:pPr>
      <w:r w:rsidRPr="007F6B8A">
        <w:lastRenderedPageBreak/>
        <w:t>3.3</w:t>
      </w:r>
      <w:r w:rsidR="003D7B0B" w:rsidRPr="007F6B8A">
        <w:tab/>
        <w:t>Auswirkungen bei Ablehnung der Stellenschaffungen</w:t>
      </w:r>
    </w:p>
    <w:p w14:paraId="441E2C29" w14:textId="77777777" w:rsidR="003D7B0B" w:rsidRPr="007F6B8A" w:rsidRDefault="003D7B0B" w:rsidP="00884D6C"/>
    <w:p w14:paraId="54910AC4" w14:textId="6642D3AA" w:rsidR="003D7B0B" w:rsidRPr="007F6B8A" w:rsidRDefault="00771F4C" w:rsidP="00BB72B8">
      <w:pPr>
        <w:autoSpaceDE w:val="0"/>
        <w:autoSpaceDN w:val="0"/>
        <w:adjustRightInd w:val="0"/>
      </w:pPr>
      <w:r w:rsidRPr="007F6B8A">
        <w:rPr>
          <w:rFonts w:cs="Arial"/>
        </w:rPr>
        <w:t xml:space="preserve">Bei einer Ablehnung der Stellenschaffungen kann eine bedarfsgerechte Betreuung der </w:t>
      </w:r>
      <w:r w:rsidR="006F2C1E">
        <w:rPr>
          <w:rFonts w:cs="Arial"/>
        </w:rPr>
        <w:t xml:space="preserve">genannten </w:t>
      </w:r>
      <w:r w:rsidRPr="007F6B8A">
        <w:rPr>
          <w:rFonts w:cs="Arial"/>
        </w:rPr>
        <w:t>Personengruppen aufgrund unzureichender Personalausstattung nicht geleistet werden. Die Stadt Stuttgart würde dann weiter</w:t>
      </w:r>
      <w:r w:rsidR="003165B1">
        <w:rPr>
          <w:rFonts w:cs="Arial"/>
        </w:rPr>
        <w:t>hin die gesellschaftliche und ar</w:t>
      </w:r>
      <w:r w:rsidRPr="007F6B8A">
        <w:rPr>
          <w:rFonts w:cs="Arial"/>
        </w:rPr>
        <w:t>beitsmarktliche Integration eines relevanten Teils der geflüchteten Menschen nicht ausreichend unterstüt</w:t>
      </w:r>
      <w:r w:rsidR="00335E84">
        <w:rPr>
          <w:rFonts w:cs="Arial"/>
        </w:rPr>
        <w:t>zen.</w:t>
      </w:r>
    </w:p>
    <w:p w14:paraId="5B56F44B" w14:textId="77777777" w:rsidR="003D7B0B" w:rsidRPr="007F6B8A" w:rsidRDefault="00884D6C" w:rsidP="00884D6C">
      <w:pPr>
        <w:pStyle w:val="berschrift1"/>
      </w:pPr>
      <w:r w:rsidRPr="007F6B8A">
        <w:t>4</w:t>
      </w:r>
      <w:r w:rsidRPr="007F6B8A">
        <w:tab/>
      </w:r>
      <w:r w:rsidR="003D7B0B" w:rsidRPr="007F6B8A">
        <w:t>Stellenvermerke</w:t>
      </w:r>
    </w:p>
    <w:p w14:paraId="31E6BB16" w14:textId="77777777" w:rsidR="00DE362D" w:rsidRDefault="00DE362D" w:rsidP="00884D6C"/>
    <w:p w14:paraId="7BA40CA9" w14:textId="60A68BB5" w:rsidR="00C53136" w:rsidRPr="007F6B8A" w:rsidRDefault="00C53136" w:rsidP="00884D6C">
      <w:r>
        <w:t>KW 01/202</w:t>
      </w:r>
      <w:r w:rsidR="001B4D46">
        <w:t>6</w:t>
      </w:r>
    </w:p>
    <w:sectPr w:rsidR="00C53136" w:rsidRPr="007F6B8A" w:rsidSect="00165C0D">
      <w:headerReference w:type="default" r:id="rId7"/>
      <w:pgSz w:w="11907" w:h="16840" w:code="9"/>
      <w:pgMar w:top="1418" w:right="1134" w:bottom="1418" w:left="1418" w:header="709" w:footer="709"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913CF0" w14:textId="77777777" w:rsidR="0000498B" w:rsidRDefault="0000498B">
      <w:r>
        <w:separator/>
      </w:r>
    </w:p>
  </w:endnote>
  <w:endnote w:type="continuationSeparator" w:id="0">
    <w:p w14:paraId="0D164CE8" w14:textId="77777777" w:rsidR="0000498B" w:rsidRDefault="000049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Helv">
    <w:panose1 w:val="020B060402020203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3ED1D4" w14:textId="77777777" w:rsidR="0000498B" w:rsidRDefault="0000498B">
      <w:r>
        <w:separator/>
      </w:r>
    </w:p>
  </w:footnote>
  <w:footnote w:type="continuationSeparator" w:id="0">
    <w:p w14:paraId="0E02226C" w14:textId="77777777" w:rsidR="0000498B" w:rsidRDefault="000049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ABDA7F8" w14:textId="4446BB55" w:rsidR="00606F80" w:rsidRDefault="00606F80">
    <w:pPr>
      <w:framePr w:wrap="around" w:vAnchor="page" w:hAnchor="page" w:xAlign="center" w:y="710"/>
      <w:rPr>
        <w:rStyle w:val="Seitenzahl"/>
      </w:rPr>
    </w:pPr>
    <w:r>
      <w:rPr>
        <w:rStyle w:val="Seitenzahl"/>
      </w:rPr>
      <w:t xml:space="preserve">- </w:t>
    </w:r>
    <w:r w:rsidR="0072799A">
      <w:rPr>
        <w:rStyle w:val="Seitenzahl"/>
      </w:rPr>
      <w:fldChar w:fldCharType="begin"/>
    </w:r>
    <w:r>
      <w:rPr>
        <w:rStyle w:val="Seitenzahl"/>
      </w:rPr>
      <w:instrText xml:space="preserve"> PAGE </w:instrText>
    </w:r>
    <w:r w:rsidR="0072799A">
      <w:rPr>
        <w:rStyle w:val="Seitenzahl"/>
      </w:rPr>
      <w:fldChar w:fldCharType="separate"/>
    </w:r>
    <w:r w:rsidR="00F55162">
      <w:rPr>
        <w:rStyle w:val="Seitenzahl"/>
        <w:noProof/>
      </w:rPr>
      <w:t>4</w:t>
    </w:r>
    <w:r w:rsidR="0072799A">
      <w:rPr>
        <w:rStyle w:val="Seitenzahl"/>
      </w:rPr>
      <w:fldChar w:fldCharType="end"/>
    </w:r>
    <w:r>
      <w:rPr>
        <w:rStyle w:val="Seitenzahl"/>
      </w:rPr>
      <w:t xml:space="preserve"> -</w:t>
    </w:r>
  </w:p>
  <w:p w14:paraId="58E1CC74" w14:textId="77777777" w:rsidR="00606F80" w:rsidRDefault="00606F80">
    <w:pPr>
      <w:pStyle w:val="Kopfzeile"/>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19254875"/>
    <w:multiLevelType w:val="singleLevel"/>
    <w:tmpl w:val="C8D2C306"/>
    <w:lvl w:ilvl="0">
      <w:start w:val="4"/>
      <w:numFmt w:val="decimal"/>
      <w:lvlText w:val="%1."/>
      <w:legacy w:legacy="1" w:legacySpace="0" w:legacyIndent="420"/>
      <w:lvlJc w:val="left"/>
      <w:pPr>
        <w:ind w:left="420" w:hanging="420"/>
      </w:pPr>
    </w:lvl>
  </w:abstractNum>
  <w:abstractNum w:abstractNumId="2" w15:restartNumberingAfterBreak="0">
    <w:nsid w:val="1BA379D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3" w15:restartNumberingAfterBreak="0">
    <w:nsid w:val="46724381"/>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abstractNum w:abstractNumId="4" w15:restartNumberingAfterBreak="0">
    <w:nsid w:val="6F457233"/>
    <w:multiLevelType w:val="multilevel"/>
    <w:tmpl w:val="D462444A"/>
    <w:lvl w:ilvl="0">
      <w:start w:val="3"/>
      <w:numFmt w:val="decimal"/>
      <w:lvlText w:val="%1"/>
      <w:legacy w:legacy="1" w:legacySpace="0" w:legacyIndent="0"/>
      <w:lvlJc w:val="left"/>
    </w:lvl>
    <w:lvl w:ilvl="1">
      <w:start w:val="1"/>
      <w:numFmt w:val="decimal"/>
      <w:lvlText w:val="%1.%2"/>
      <w:legacy w:legacy="1" w:legacySpace="0" w:legacyIndent="0"/>
      <w:lvlJc w:val="left"/>
    </w:lvl>
    <w:lvl w:ilvl="2">
      <w:start w:val="1"/>
      <w:numFmt w:val="decimal"/>
      <w:lvlText w:val="%1.%2.%3"/>
      <w:legacy w:legacy="1" w:legacySpace="0" w:legacyIndent="0"/>
      <w:lvlJc w:val="left"/>
    </w:lvl>
    <w:lvl w:ilvl="3">
      <w:start w:val="1"/>
      <w:numFmt w:val="decimal"/>
      <w:lvlText w:val="%1.%2.%3.%4"/>
      <w:legacy w:legacy="1" w:legacySpace="0" w:legacyIndent="0"/>
      <w:lvlJc w:val="left"/>
    </w:lvl>
    <w:lvl w:ilvl="4">
      <w:start w:val="1"/>
      <w:numFmt w:val="decimal"/>
      <w:lvlText w:val="%1.%2.%3.%4.%5"/>
      <w:legacy w:legacy="1" w:legacySpace="0" w:legacyIndent="0"/>
      <w:lvlJc w:val="left"/>
    </w:lvl>
    <w:lvl w:ilvl="5">
      <w:start w:val="1"/>
      <w:numFmt w:val="decimal"/>
      <w:lvlText w:val="%1.%2.%3.%4.%5.%6"/>
      <w:legacy w:legacy="1" w:legacySpace="0" w:legacyIndent="0"/>
      <w:lvlJc w:val="left"/>
    </w:lvl>
    <w:lvl w:ilvl="6">
      <w:start w:val="1"/>
      <w:numFmt w:val="decimal"/>
      <w:lvlText w:val="%1.%2.%3.%4.%5.%6.%7"/>
      <w:legacy w:legacy="1" w:legacySpace="0" w:legacyIndent="0"/>
      <w:lvlJc w:val="left"/>
    </w:lvl>
    <w:lvl w:ilvl="7">
      <w:start w:val="1"/>
      <w:numFmt w:val="decimal"/>
      <w:lvlText w:val="%1.%2.%3.%4.%5.%6.%7.%8"/>
      <w:legacy w:legacy="1" w:legacySpace="0" w:legacyIndent="0"/>
      <w:lvlJc w:val="left"/>
    </w:lvl>
    <w:lvl w:ilvl="8">
      <w:start w:val="1"/>
      <w:numFmt w:val="decimal"/>
      <w:lvlText w:val="%1.%2.%3.%4.%5.%6.%7.%8.%9"/>
      <w:legacy w:legacy="1" w:legacySpace="120" w:legacyIndent="1800"/>
      <w:lvlJc w:val="left"/>
      <w:pPr>
        <w:ind w:left="1800" w:hanging="1800"/>
      </w:pPr>
    </w:lvl>
  </w:abstractNum>
  <w:num w:numId="1">
    <w:abstractNumId w:val="2"/>
  </w:num>
  <w:num w:numId="2">
    <w:abstractNumId w:val="0"/>
    <w:lvlOverride w:ilvl="0">
      <w:lvl w:ilvl="0">
        <w:start w:val="1"/>
        <w:numFmt w:val="bullet"/>
        <w:lvlText w:val=""/>
        <w:legacy w:legacy="1" w:legacySpace="0" w:legacyIndent="360"/>
        <w:lvlJc w:val="left"/>
        <w:pPr>
          <w:ind w:left="717" w:hanging="360"/>
        </w:pPr>
        <w:rPr>
          <w:rFonts w:ascii="Wingdings" w:hAnsi="Wingdings" w:hint="default"/>
        </w:rPr>
      </w:lvl>
    </w:lvlOverride>
  </w:num>
  <w:num w:numId="3">
    <w:abstractNumId w:val="1"/>
  </w:num>
  <w:num w:numId="4">
    <w:abstractNumId w:val="3"/>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printFractionalCharacterWidth/>
  <w:activeWritingStyle w:appName="MSWord" w:lang="de-DE" w:vendorID="64" w:dllVersion="131078" w:nlCheck="1" w:checkStyle="0"/>
  <w:proofState w:spelling="clean" w:grammar="clean"/>
  <w:attachedTemplate r:id="rId1"/>
  <w:stylePaneFormatFilter w:val="3001" w:allStyles="1" w:customStyles="0" w:latentStyles="0" w:stylesInUse="0" w:headingStyles="0" w:numberingStyles="0" w:tableStyles="0" w:directFormattingOnRuns="0" w:directFormattingOnParagraphs="0" w:directFormattingOnNumbering="0" w:directFormattingOnTables="0" w:clearFormatting="1" w:top3HeadingStyles="1" w:visibleStyles="0" w:alternateStyleNames="0"/>
  <w:stylePaneSortMethod w:val="0000"/>
  <w:styleLockQFSet/>
  <w:defaultTabStop w:val="709"/>
  <w:autoHyphenation/>
  <w:hyphenationZone w:val="425"/>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71F4C"/>
    <w:rsid w:val="0000498B"/>
    <w:rsid w:val="000322A7"/>
    <w:rsid w:val="00055758"/>
    <w:rsid w:val="000645A4"/>
    <w:rsid w:val="000A1146"/>
    <w:rsid w:val="000D2B6C"/>
    <w:rsid w:val="001034AF"/>
    <w:rsid w:val="0011112B"/>
    <w:rsid w:val="0011527C"/>
    <w:rsid w:val="00133571"/>
    <w:rsid w:val="0013584D"/>
    <w:rsid w:val="0014415D"/>
    <w:rsid w:val="00151488"/>
    <w:rsid w:val="00163034"/>
    <w:rsid w:val="00164678"/>
    <w:rsid w:val="00165C0D"/>
    <w:rsid w:val="00181857"/>
    <w:rsid w:val="00184EDC"/>
    <w:rsid w:val="00194770"/>
    <w:rsid w:val="001A2B0A"/>
    <w:rsid w:val="001A5F9B"/>
    <w:rsid w:val="001B4D46"/>
    <w:rsid w:val="001E63A1"/>
    <w:rsid w:val="001F7237"/>
    <w:rsid w:val="0021054D"/>
    <w:rsid w:val="00251278"/>
    <w:rsid w:val="00262211"/>
    <w:rsid w:val="002639FC"/>
    <w:rsid w:val="002924CB"/>
    <w:rsid w:val="002946DA"/>
    <w:rsid w:val="002A20D1"/>
    <w:rsid w:val="002A4DE3"/>
    <w:rsid w:val="002B5955"/>
    <w:rsid w:val="00304CAC"/>
    <w:rsid w:val="0030686C"/>
    <w:rsid w:val="003165B1"/>
    <w:rsid w:val="00335E84"/>
    <w:rsid w:val="00380937"/>
    <w:rsid w:val="00397717"/>
    <w:rsid w:val="003D7B0B"/>
    <w:rsid w:val="003E5035"/>
    <w:rsid w:val="003F0FAA"/>
    <w:rsid w:val="003F703D"/>
    <w:rsid w:val="00470135"/>
    <w:rsid w:val="0047606A"/>
    <w:rsid w:val="004908B5"/>
    <w:rsid w:val="0049121B"/>
    <w:rsid w:val="004A1688"/>
    <w:rsid w:val="004B6796"/>
    <w:rsid w:val="004E2345"/>
    <w:rsid w:val="00506839"/>
    <w:rsid w:val="005A0A9D"/>
    <w:rsid w:val="005A56AA"/>
    <w:rsid w:val="005E19C6"/>
    <w:rsid w:val="005F0F19"/>
    <w:rsid w:val="005F5B3D"/>
    <w:rsid w:val="00606F80"/>
    <w:rsid w:val="00622CC7"/>
    <w:rsid w:val="00627F71"/>
    <w:rsid w:val="00684C35"/>
    <w:rsid w:val="0069107C"/>
    <w:rsid w:val="006A406B"/>
    <w:rsid w:val="006B6D50"/>
    <w:rsid w:val="006D4DFD"/>
    <w:rsid w:val="006E0575"/>
    <w:rsid w:val="006F0FCB"/>
    <w:rsid w:val="006F2C1E"/>
    <w:rsid w:val="0072799A"/>
    <w:rsid w:val="00740E0B"/>
    <w:rsid w:val="00754659"/>
    <w:rsid w:val="00771F4C"/>
    <w:rsid w:val="00775689"/>
    <w:rsid w:val="007A3D40"/>
    <w:rsid w:val="007A5754"/>
    <w:rsid w:val="007E3B79"/>
    <w:rsid w:val="007F6B8A"/>
    <w:rsid w:val="008066EE"/>
    <w:rsid w:val="00817BB6"/>
    <w:rsid w:val="00884D6C"/>
    <w:rsid w:val="008A2B8B"/>
    <w:rsid w:val="008D56AD"/>
    <w:rsid w:val="00920F00"/>
    <w:rsid w:val="009373F6"/>
    <w:rsid w:val="00951983"/>
    <w:rsid w:val="00952EA0"/>
    <w:rsid w:val="00976588"/>
    <w:rsid w:val="00A27CA7"/>
    <w:rsid w:val="00A31818"/>
    <w:rsid w:val="00A45B30"/>
    <w:rsid w:val="00A71D0A"/>
    <w:rsid w:val="00A77F1E"/>
    <w:rsid w:val="00A847C4"/>
    <w:rsid w:val="00A86967"/>
    <w:rsid w:val="00AB389D"/>
    <w:rsid w:val="00AE7B02"/>
    <w:rsid w:val="00AF0DEA"/>
    <w:rsid w:val="00AF25E0"/>
    <w:rsid w:val="00B04290"/>
    <w:rsid w:val="00B55D8B"/>
    <w:rsid w:val="00B777E6"/>
    <w:rsid w:val="00B80DEF"/>
    <w:rsid w:val="00B86BB5"/>
    <w:rsid w:val="00B91903"/>
    <w:rsid w:val="00B9433B"/>
    <w:rsid w:val="00BA5F9A"/>
    <w:rsid w:val="00BB72B8"/>
    <w:rsid w:val="00BC2D2E"/>
    <w:rsid w:val="00BC4669"/>
    <w:rsid w:val="00C02DE8"/>
    <w:rsid w:val="00C16EF1"/>
    <w:rsid w:val="00C3257D"/>
    <w:rsid w:val="00C40D2A"/>
    <w:rsid w:val="00C448D3"/>
    <w:rsid w:val="00C53136"/>
    <w:rsid w:val="00CF62E5"/>
    <w:rsid w:val="00D43001"/>
    <w:rsid w:val="00D63359"/>
    <w:rsid w:val="00D66D3A"/>
    <w:rsid w:val="00D743D4"/>
    <w:rsid w:val="00DA2A74"/>
    <w:rsid w:val="00DB3D6C"/>
    <w:rsid w:val="00DB470F"/>
    <w:rsid w:val="00DC554F"/>
    <w:rsid w:val="00DE362D"/>
    <w:rsid w:val="00E014B6"/>
    <w:rsid w:val="00E1162F"/>
    <w:rsid w:val="00E11D5F"/>
    <w:rsid w:val="00E20E1F"/>
    <w:rsid w:val="00E42F96"/>
    <w:rsid w:val="00E7118F"/>
    <w:rsid w:val="00EF709F"/>
    <w:rsid w:val="00F10BA4"/>
    <w:rsid w:val="00F27657"/>
    <w:rsid w:val="00F342DC"/>
    <w:rsid w:val="00F55162"/>
    <w:rsid w:val="00F56F93"/>
    <w:rsid w:val="00F63041"/>
    <w:rsid w:val="00F76452"/>
    <w:rsid w:val="00F7798D"/>
    <w:rsid w:val="00FB13EC"/>
    <w:rsid w:val="00FB5926"/>
    <w:rsid w:val="00FC02A0"/>
    <w:rsid w:val="00FD6B46"/>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722E1067"/>
  <w15:docId w15:val="{46F1CCCB-0FE3-4877-896E-6DF817856EA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Times New Roman" w:hAnsi="Arial" w:cs="Times New Roman"/>
        <w:sz w:val="24"/>
        <w:szCs w:val="24"/>
        <w:lang w:val="de-DE" w:eastAsia="de-DE"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rd">
    <w:name w:val="Normal"/>
    <w:qFormat/>
    <w:rsid w:val="00B86BB5"/>
  </w:style>
  <w:style w:type="paragraph" w:styleId="berschrift1">
    <w:name w:val="heading 1"/>
    <w:basedOn w:val="Standard"/>
    <w:next w:val="Standard"/>
    <w:qFormat/>
    <w:rsid w:val="00DB3D6C"/>
    <w:pPr>
      <w:keepNext/>
      <w:spacing w:before="480"/>
      <w:ind w:left="284" w:hanging="284"/>
      <w:outlineLvl w:val="0"/>
    </w:pPr>
    <w:rPr>
      <w:b/>
      <w:u w:val="single"/>
    </w:rPr>
  </w:style>
  <w:style w:type="paragraph" w:styleId="berschrift2">
    <w:name w:val="heading 2"/>
    <w:basedOn w:val="Standard"/>
    <w:next w:val="Standard"/>
    <w:qFormat/>
    <w:rsid w:val="00DB3D6C"/>
    <w:pPr>
      <w:keepNext/>
      <w:spacing w:before="240"/>
      <w:ind w:left="482" w:hanging="482"/>
      <w:outlineLvl w:val="1"/>
    </w:pPr>
    <w:rPr>
      <w:b/>
    </w:rPr>
  </w:style>
  <w:style w:type="paragraph" w:styleId="berschrift3">
    <w:name w:val="heading 3"/>
    <w:basedOn w:val="Standard"/>
    <w:next w:val="Standard"/>
    <w:qFormat/>
    <w:rsid w:val="00A847C4"/>
    <w:pPr>
      <w:keepNext/>
      <w:spacing w:before="240" w:after="60"/>
      <w:outlineLvl w:val="2"/>
    </w:pPr>
    <w:rPr>
      <w:b/>
    </w:rPr>
  </w:style>
  <w:style w:type="paragraph" w:styleId="berschrift4">
    <w:name w:val="heading 4"/>
    <w:basedOn w:val="Standard"/>
    <w:next w:val="Standard"/>
    <w:qFormat/>
    <w:rsid w:val="00A847C4"/>
    <w:pPr>
      <w:keepNext/>
      <w:ind w:left="72"/>
      <w:jc w:val="center"/>
      <w:outlineLvl w:val="3"/>
    </w:pPr>
    <w:rPr>
      <w:b/>
      <w:sz w:val="16"/>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character" w:styleId="Kommentarzeichen">
    <w:name w:val="annotation reference"/>
    <w:basedOn w:val="Absatz-Standardschriftart"/>
    <w:semiHidden/>
    <w:rsid w:val="00A847C4"/>
    <w:rPr>
      <w:sz w:val="16"/>
    </w:rPr>
  </w:style>
  <w:style w:type="paragraph" w:styleId="Kommentartext">
    <w:name w:val="annotation text"/>
    <w:basedOn w:val="Standard"/>
    <w:link w:val="KommentartextZchn"/>
    <w:semiHidden/>
    <w:rsid w:val="00A847C4"/>
    <w:rPr>
      <w:sz w:val="20"/>
    </w:rPr>
  </w:style>
  <w:style w:type="paragraph" w:styleId="Fuzeile">
    <w:name w:val="footer"/>
    <w:basedOn w:val="Standard"/>
    <w:rsid w:val="00A847C4"/>
    <w:pPr>
      <w:tabs>
        <w:tab w:val="center" w:pos="4819"/>
        <w:tab w:val="right" w:pos="9071"/>
      </w:tabs>
    </w:pPr>
  </w:style>
  <w:style w:type="paragraph" w:styleId="Kopfzeile">
    <w:name w:val="header"/>
    <w:basedOn w:val="Standard"/>
    <w:rsid w:val="00A847C4"/>
    <w:pPr>
      <w:tabs>
        <w:tab w:val="center" w:pos="4819"/>
        <w:tab w:val="right" w:pos="9071"/>
      </w:tabs>
    </w:pPr>
  </w:style>
  <w:style w:type="paragraph" w:styleId="Sprechblasentext">
    <w:name w:val="Balloon Text"/>
    <w:basedOn w:val="Standard"/>
    <w:link w:val="SprechblasentextZchn"/>
    <w:rsid w:val="00606F80"/>
    <w:rPr>
      <w:rFonts w:ascii="Tahoma" w:hAnsi="Tahoma" w:cs="Tahoma"/>
      <w:sz w:val="16"/>
      <w:szCs w:val="16"/>
    </w:rPr>
  </w:style>
  <w:style w:type="character" w:customStyle="1" w:styleId="SprechblasentextZchn">
    <w:name w:val="Sprechblasentext Zchn"/>
    <w:basedOn w:val="Absatz-Standardschriftart"/>
    <w:link w:val="Sprechblasentext"/>
    <w:rsid w:val="00606F80"/>
    <w:rPr>
      <w:rFonts w:ascii="Tahoma" w:hAnsi="Tahoma" w:cs="Tahoma"/>
      <w:sz w:val="16"/>
      <w:szCs w:val="16"/>
    </w:rPr>
  </w:style>
  <w:style w:type="character" w:styleId="Seitenzahl">
    <w:name w:val="page number"/>
    <w:basedOn w:val="Absatz-Standardschriftart"/>
    <w:rsid w:val="00165C0D"/>
    <w:rPr>
      <w:rFonts w:ascii="Arial" w:hAnsi="Arial"/>
      <w:sz w:val="24"/>
    </w:rPr>
  </w:style>
  <w:style w:type="paragraph" w:styleId="Kommentarthema">
    <w:name w:val="annotation subject"/>
    <w:basedOn w:val="Kommentartext"/>
    <w:next w:val="Kommentartext"/>
    <w:link w:val="KommentarthemaZchn"/>
    <w:semiHidden/>
    <w:unhideWhenUsed/>
    <w:rsid w:val="004E2345"/>
    <w:rPr>
      <w:b/>
      <w:bCs/>
      <w:szCs w:val="20"/>
    </w:rPr>
  </w:style>
  <w:style w:type="character" w:customStyle="1" w:styleId="KommentartextZchn">
    <w:name w:val="Kommentartext Zchn"/>
    <w:basedOn w:val="Absatz-Standardschriftart"/>
    <w:link w:val="Kommentartext"/>
    <w:semiHidden/>
    <w:rsid w:val="004E2345"/>
    <w:rPr>
      <w:sz w:val="20"/>
    </w:rPr>
  </w:style>
  <w:style w:type="character" w:customStyle="1" w:styleId="KommentarthemaZchn">
    <w:name w:val="Kommentarthema Zchn"/>
    <w:basedOn w:val="KommentartextZchn"/>
    <w:link w:val="Kommentarthema"/>
    <w:semiHidden/>
    <w:rsid w:val="004E234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u29a011\AppData\Local\Temp\notes65C8FE\l112_muster_schaffung.dotx" TargetMode="External"/></Relationships>
</file>

<file path=word/theme/theme1.xml><?xml version="1.0" encoding="utf-8"?>
<a:theme xmlns:a="http://schemas.openxmlformats.org/drawingml/2006/main" name="Larissa-Design">
  <a:themeElements>
    <a:clrScheme name="Lariss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Lariss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Lariss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l112_muster_schaffung.dotx</Template>
  <TotalTime>0</TotalTime>
  <Pages>4</Pages>
  <Words>1052</Words>
  <Characters>7730</Characters>
  <Application>Microsoft Office Word</Application>
  <DocSecurity>0</DocSecurity>
  <Lines>64</Lines>
  <Paragraphs>17</Paragraphs>
  <ScaleCrop>false</ScaleCrop>
  <HeadingPairs>
    <vt:vector size="2" baseType="variant">
      <vt:variant>
        <vt:lpstr>Titel</vt:lpstr>
      </vt:variant>
      <vt:variant>
        <vt:i4>1</vt:i4>
      </vt:variant>
    </vt:vector>
  </HeadingPairs>
  <TitlesOfParts>
    <vt:vector size="1" baseType="lpstr">
      <vt:lpstr>Mustervorlage Stellenschaffung</vt:lpstr>
    </vt:vector>
  </TitlesOfParts>
  <Company>Landeshauptstadt Stuttgart</Company>
  <LinksUpToDate>false</LinksUpToDate>
  <CharactersWithSpaces>8765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Mustervorlage Stellenschaffung</dc:title>
  <dc:subject>zum Stellenplan 2022/2023</dc:subject>
  <dc:creator>Wacker, Jochen</dc:creator>
  <cp:lastModifiedBy>Baumann, Gerhard</cp:lastModifiedBy>
  <cp:revision>17</cp:revision>
  <cp:lastPrinted>2021-11-15T07:54:00Z</cp:lastPrinted>
  <dcterms:created xsi:type="dcterms:W3CDTF">2021-01-27T10:15:00Z</dcterms:created>
  <dcterms:modified xsi:type="dcterms:W3CDTF">2021-11-15T07:55:00Z</dcterms:modified>
</cp:coreProperties>
</file>