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D95A1A" w:rsidRDefault="003D7B0B" w:rsidP="00DE6217">
      <w:pPr>
        <w:ind w:left="4963"/>
      </w:pPr>
      <w:r w:rsidRPr="00D95A1A">
        <w:t xml:space="preserve">Anlage </w:t>
      </w:r>
      <w:r w:rsidR="00AD4E02">
        <w:t>11</w:t>
      </w:r>
      <w:r w:rsidRPr="00D95A1A">
        <w:t xml:space="preserve"> zur </w:t>
      </w:r>
      <w:proofErr w:type="spellStart"/>
      <w:r w:rsidRPr="00D95A1A">
        <w:t>GRDrs</w:t>
      </w:r>
      <w:proofErr w:type="spellEnd"/>
      <w:r w:rsidRPr="00D95A1A">
        <w:t xml:space="preserve"> </w:t>
      </w:r>
      <w:r w:rsidR="00AD4E02">
        <w:t>888</w:t>
      </w:r>
      <w:r w:rsidR="005F5B3D" w:rsidRPr="00D95A1A">
        <w:t>/201</w:t>
      </w:r>
      <w:r w:rsidR="00DE6217">
        <w:t>9</w:t>
      </w:r>
    </w:p>
    <w:p w:rsidR="003D7B0B" w:rsidRDefault="003D7B0B" w:rsidP="00FC64D5">
      <w:pPr>
        <w:spacing w:before="0" w:after="0"/>
      </w:pPr>
    </w:p>
    <w:p w:rsidR="00DE6217" w:rsidRPr="00D95A1A" w:rsidRDefault="00DE6217" w:rsidP="00FC64D5">
      <w:pPr>
        <w:spacing w:before="0" w:after="0"/>
      </w:pPr>
    </w:p>
    <w:p w:rsidR="00184EDC" w:rsidRPr="00DE6217" w:rsidRDefault="003D7B0B" w:rsidP="00FC64D5">
      <w:pPr>
        <w:spacing w:before="0" w:after="0"/>
        <w:jc w:val="center"/>
        <w:rPr>
          <w:b/>
          <w:sz w:val="36"/>
          <w:szCs w:val="36"/>
          <w:u w:val="single"/>
        </w:rPr>
      </w:pPr>
      <w:r w:rsidRPr="00DE6217">
        <w:rPr>
          <w:b/>
          <w:sz w:val="36"/>
          <w:szCs w:val="36"/>
          <w:u w:val="single"/>
        </w:rPr>
        <w:t>Stellenschaffung</w:t>
      </w:r>
    </w:p>
    <w:p w:rsidR="003D7B0B" w:rsidRPr="00DE6217" w:rsidRDefault="00184EDC" w:rsidP="00FC64D5">
      <w:pPr>
        <w:spacing w:before="0" w:after="0"/>
        <w:jc w:val="center"/>
        <w:rPr>
          <w:b/>
          <w:sz w:val="36"/>
          <w:szCs w:val="36"/>
          <w:u w:val="single"/>
        </w:rPr>
      </w:pPr>
      <w:r w:rsidRPr="00DE6217">
        <w:rPr>
          <w:b/>
          <w:sz w:val="36"/>
          <w:szCs w:val="36"/>
          <w:u w:val="single"/>
        </w:rPr>
        <w:t>zum Stellenplan 20</w:t>
      </w:r>
      <w:r w:rsidR="00DE362D" w:rsidRPr="00DE6217">
        <w:rPr>
          <w:b/>
          <w:sz w:val="36"/>
          <w:szCs w:val="36"/>
          <w:u w:val="single"/>
        </w:rPr>
        <w:t>2</w:t>
      </w:r>
      <w:r w:rsidR="00DE6217" w:rsidRPr="00DE6217">
        <w:rPr>
          <w:b/>
          <w:sz w:val="36"/>
          <w:szCs w:val="36"/>
          <w:u w:val="single"/>
        </w:rPr>
        <w:t>0</w:t>
      </w:r>
    </w:p>
    <w:p w:rsidR="003D7B0B" w:rsidRPr="00D95A1A" w:rsidRDefault="003D7B0B" w:rsidP="00FC64D5">
      <w:pPr>
        <w:spacing w:before="0" w:after="0"/>
      </w:pPr>
    </w:p>
    <w:p w:rsidR="00DE362D" w:rsidRPr="00D95A1A" w:rsidRDefault="00DE362D" w:rsidP="00FC64D5">
      <w:pPr>
        <w:spacing w:before="0" w:after="0"/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527"/>
        <w:gridCol w:w="968"/>
        <w:gridCol w:w="1725"/>
        <w:gridCol w:w="940"/>
        <w:gridCol w:w="1134"/>
        <w:gridCol w:w="1417"/>
      </w:tblGrid>
      <w:tr w:rsidR="00D95A1A" w:rsidRPr="00D95A1A" w:rsidTr="00287C0E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Pr="002C0831" w:rsidRDefault="005F5B3D" w:rsidP="008B5C87">
            <w:pPr>
              <w:rPr>
                <w:sz w:val="16"/>
                <w:szCs w:val="16"/>
              </w:rPr>
            </w:pPr>
            <w:r w:rsidRPr="002C0831">
              <w:rPr>
                <w:sz w:val="16"/>
                <w:szCs w:val="16"/>
              </w:rPr>
              <w:t>Org.-Einheit</w:t>
            </w:r>
            <w:r w:rsidR="00380937" w:rsidRPr="002C0831">
              <w:rPr>
                <w:sz w:val="16"/>
                <w:szCs w:val="16"/>
              </w:rPr>
              <w:t>,</w:t>
            </w:r>
          </w:p>
          <w:p w:rsidR="005F5B3D" w:rsidRPr="002C0831" w:rsidRDefault="005F5B3D" w:rsidP="008B5C87">
            <w:pPr>
              <w:rPr>
                <w:sz w:val="16"/>
                <w:szCs w:val="16"/>
              </w:rPr>
            </w:pPr>
            <w:r w:rsidRPr="002C0831">
              <w:rPr>
                <w:sz w:val="16"/>
                <w:szCs w:val="16"/>
              </w:rPr>
              <w:t>Kostenstelle</w:t>
            </w:r>
          </w:p>
        </w:tc>
        <w:tc>
          <w:tcPr>
            <w:tcW w:w="1527" w:type="dxa"/>
            <w:shd w:val="pct12" w:color="auto" w:fill="FFFFFF"/>
          </w:tcPr>
          <w:p w:rsidR="005F5B3D" w:rsidRPr="002C0831" w:rsidRDefault="005F5B3D" w:rsidP="008B5C87">
            <w:pPr>
              <w:rPr>
                <w:sz w:val="16"/>
                <w:szCs w:val="16"/>
              </w:rPr>
            </w:pPr>
            <w:r w:rsidRPr="002C0831">
              <w:rPr>
                <w:sz w:val="16"/>
                <w:szCs w:val="16"/>
              </w:rPr>
              <w:t>Amt</w:t>
            </w:r>
          </w:p>
        </w:tc>
        <w:tc>
          <w:tcPr>
            <w:tcW w:w="968" w:type="dxa"/>
            <w:shd w:val="pct12" w:color="auto" w:fill="FFFFFF"/>
          </w:tcPr>
          <w:p w:rsidR="00DE362D" w:rsidRPr="002C0831" w:rsidRDefault="00606F80" w:rsidP="008B5C87">
            <w:pPr>
              <w:rPr>
                <w:sz w:val="16"/>
                <w:szCs w:val="16"/>
              </w:rPr>
            </w:pPr>
            <w:proofErr w:type="spellStart"/>
            <w:r w:rsidRPr="002C0831">
              <w:rPr>
                <w:sz w:val="16"/>
                <w:szCs w:val="16"/>
              </w:rPr>
              <w:t>BesGr</w:t>
            </w:r>
            <w:proofErr w:type="spellEnd"/>
            <w:r w:rsidRPr="002C0831">
              <w:rPr>
                <w:sz w:val="16"/>
                <w:szCs w:val="16"/>
              </w:rPr>
              <w:t>.</w:t>
            </w:r>
          </w:p>
          <w:p w:rsidR="00DE362D" w:rsidRPr="002C0831" w:rsidRDefault="00606F80" w:rsidP="008B5C87">
            <w:pPr>
              <w:rPr>
                <w:sz w:val="16"/>
                <w:szCs w:val="16"/>
              </w:rPr>
            </w:pPr>
            <w:r w:rsidRPr="002C0831">
              <w:rPr>
                <w:sz w:val="16"/>
                <w:szCs w:val="16"/>
              </w:rPr>
              <w:t>oder</w:t>
            </w:r>
          </w:p>
          <w:p w:rsidR="00606F80" w:rsidRPr="002C0831" w:rsidRDefault="00606F80" w:rsidP="008B5C87">
            <w:pPr>
              <w:rPr>
                <w:sz w:val="16"/>
                <w:szCs w:val="16"/>
              </w:rPr>
            </w:pPr>
            <w:r w:rsidRPr="002C0831">
              <w:rPr>
                <w:sz w:val="16"/>
                <w:szCs w:val="16"/>
              </w:rPr>
              <w:t>EG</w:t>
            </w:r>
          </w:p>
        </w:tc>
        <w:tc>
          <w:tcPr>
            <w:tcW w:w="1725" w:type="dxa"/>
            <w:shd w:val="pct12" w:color="auto" w:fill="FFFFFF"/>
          </w:tcPr>
          <w:p w:rsidR="005F5B3D" w:rsidRPr="002C0831" w:rsidRDefault="005F5B3D" w:rsidP="00287C0E">
            <w:pPr>
              <w:rPr>
                <w:sz w:val="16"/>
                <w:szCs w:val="16"/>
              </w:rPr>
            </w:pPr>
            <w:r w:rsidRPr="002C0831">
              <w:rPr>
                <w:sz w:val="16"/>
                <w:szCs w:val="16"/>
              </w:rPr>
              <w:t>Funktions</w:t>
            </w:r>
            <w:r w:rsidR="00287C0E" w:rsidRPr="002C0831">
              <w:rPr>
                <w:sz w:val="16"/>
                <w:szCs w:val="16"/>
              </w:rPr>
              <w:t>be</w:t>
            </w:r>
            <w:r w:rsidRPr="002C0831">
              <w:rPr>
                <w:sz w:val="16"/>
                <w:szCs w:val="16"/>
              </w:rPr>
              <w:t>zeichnung</w:t>
            </w:r>
          </w:p>
        </w:tc>
        <w:tc>
          <w:tcPr>
            <w:tcW w:w="940" w:type="dxa"/>
            <w:shd w:val="pct12" w:color="auto" w:fill="FFFFFF"/>
          </w:tcPr>
          <w:p w:rsidR="005F5B3D" w:rsidRPr="002C0831" w:rsidRDefault="005F5B3D" w:rsidP="008B5C87">
            <w:pPr>
              <w:rPr>
                <w:sz w:val="16"/>
                <w:szCs w:val="16"/>
              </w:rPr>
            </w:pPr>
            <w:r w:rsidRPr="002C0831">
              <w:rPr>
                <w:sz w:val="16"/>
                <w:szCs w:val="16"/>
              </w:rPr>
              <w:t>Anzahl</w:t>
            </w:r>
            <w:r w:rsidRPr="002C0831">
              <w:rPr>
                <w:sz w:val="16"/>
                <w:szCs w:val="16"/>
              </w:rPr>
              <w:br/>
              <w:t>der</w:t>
            </w:r>
            <w:r w:rsidRPr="002C0831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2C0831" w:rsidRDefault="005F5B3D" w:rsidP="008B5C87">
            <w:pPr>
              <w:rPr>
                <w:sz w:val="16"/>
                <w:szCs w:val="16"/>
              </w:rPr>
            </w:pPr>
            <w:r w:rsidRPr="002C0831">
              <w:rPr>
                <w:sz w:val="16"/>
                <w:szCs w:val="16"/>
              </w:rPr>
              <w:t>Stellen-</w:t>
            </w:r>
            <w:r w:rsidRPr="002C0831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2C0831" w:rsidRDefault="004708BE" w:rsidP="008B5C87">
            <w:pPr>
              <w:rPr>
                <w:sz w:val="16"/>
                <w:szCs w:val="16"/>
              </w:rPr>
            </w:pPr>
            <w:proofErr w:type="spellStart"/>
            <w:r w:rsidRPr="002C0831">
              <w:rPr>
                <w:sz w:val="16"/>
                <w:szCs w:val="16"/>
              </w:rPr>
              <w:t>d</w:t>
            </w:r>
            <w:r w:rsidR="005F5B3D" w:rsidRPr="002C0831">
              <w:rPr>
                <w:sz w:val="16"/>
                <w:szCs w:val="16"/>
              </w:rPr>
              <w:t>urchschnittl</w:t>
            </w:r>
            <w:proofErr w:type="spellEnd"/>
            <w:r w:rsidR="005F5B3D" w:rsidRPr="002C0831">
              <w:rPr>
                <w:sz w:val="16"/>
                <w:szCs w:val="16"/>
              </w:rPr>
              <w:t>.</w:t>
            </w:r>
            <w:r w:rsidR="005F5B3D" w:rsidRPr="002C0831">
              <w:rPr>
                <w:sz w:val="16"/>
                <w:szCs w:val="16"/>
              </w:rPr>
              <w:br/>
            </w:r>
            <w:proofErr w:type="spellStart"/>
            <w:r w:rsidR="005F5B3D" w:rsidRPr="002C0831">
              <w:rPr>
                <w:sz w:val="16"/>
                <w:szCs w:val="16"/>
              </w:rPr>
              <w:t>jährl</w:t>
            </w:r>
            <w:proofErr w:type="spellEnd"/>
            <w:r w:rsidR="005F5B3D" w:rsidRPr="002C0831">
              <w:rPr>
                <w:sz w:val="16"/>
                <w:szCs w:val="16"/>
              </w:rPr>
              <w:t>. kosten-</w:t>
            </w:r>
            <w:r w:rsidR="005F5B3D" w:rsidRPr="002C0831">
              <w:rPr>
                <w:sz w:val="16"/>
                <w:szCs w:val="16"/>
              </w:rPr>
              <w:br/>
              <w:t>wirksamer</w:t>
            </w:r>
            <w:r w:rsidR="00DE362D" w:rsidRPr="002C0831">
              <w:rPr>
                <w:sz w:val="16"/>
                <w:szCs w:val="16"/>
              </w:rPr>
              <w:t xml:space="preserve"> </w:t>
            </w:r>
            <w:r w:rsidR="005F5B3D" w:rsidRPr="002C0831">
              <w:rPr>
                <w:sz w:val="16"/>
                <w:szCs w:val="16"/>
              </w:rPr>
              <w:br/>
              <w:t>Aufwand</w:t>
            </w:r>
            <w:r w:rsidR="0030686C" w:rsidRPr="002C0831">
              <w:rPr>
                <w:sz w:val="16"/>
                <w:szCs w:val="16"/>
              </w:rPr>
              <w:t xml:space="preserve"> </w:t>
            </w:r>
            <w:r w:rsidR="005F5B3D" w:rsidRPr="002C0831">
              <w:rPr>
                <w:sz w:val="16"/>
                <w:szCs w:val="16"/>
              </w:rPr>
              <w:br/>
            </w:r>
            <w:r w:rsidR="003F0FAA" w:rsidRPr="002C0831">
              <w:rPr>
                <w:sz w:val="16"/>
                <w:szCs w:val="16"/>
              </w:rPr>
              <w:t xml:space="preserve">in </w:t>
            </w:r>
            <w:r w:rsidR="005F5B3D" w:rsidRPr="002C0831">
              <w:rPr>
                <w:sz w:val="16"/>
                <w:szCs w:val="16"/>
              </w:rPr>
              <w:t>Euro</w:t>
            </w:r>
          </w:p>
        </w:tc>
      </w:tr>
      <w:tr w:rsidR="00D95A1A" w:rsidRPr="00D95A1A" w:rsidTr="00E65234">
        <w:tc>
          <w:tcPr>
            <w:tcW w:w="1814" w:type="dxa"/>
          </w:tcPr>
          <w:p w:rsidR="007F74CA" w:rsidRDefault="00422B15" w:rsidP="008B5C87">
            <w:pPr>
              <w:rPr>
                <w:sz w:val="20"/>
                <w:szCs w:val="20"/>
              </w:rPr>
            </w:pPr>
            <w:r w:rsidRPr="002C0831">
              <w:rPr>
                <w:sz w:val="20"/>
                <w:szCs w:val="20"/>
              </w:rPr>
              <w:t>500 0403</w:t>
            </w:r>
          </w:p>
          <w:p w:rsidR="005200C9" w:rsidRDefault="005200C9" w:rsidP="008B5C87">
            <w:pPr>
              <w:rPr>
                <w:sz w:val="20"/>
                <w:szCs w:val="20"/>
              </w:rPr>
            </w:pPr>
          </w:p>
          <w:p w:rsidR="005F5B3D" w:rsidRPr="002C0831" w:rsidRDefault="00422B15" w:rsidP="008B5C87">
            <w:pPr>
              <w:rPr>
                <w:sz w:val="20"/>
                <w:szCs w:val="20"/>
              </w:rPr>
            </w:pPr>
            <w:r w:rsidRPr="002C0831">
              <w:rPr>
                <w:sz w:val="20"/>
                <w:szCs w:val="20"/>
              </w:rPr>
              <w:t>50405030</w:t>
            </w:r>
          </w:p>
        </w:tc>
        <w:tc>
          <w:tcPr>
            <w:tcW w:w="1527" w:type="dxa"/>
          </w:tcPr>
          <w:p w:rsidR="005F5B3D" w:rsidRPr="002C0831" w:rsidRDefault="00C354F9" w:rsidP="008B5C87">
            <w:pPr>
              <w:rPr>
                <w:sz w:val="20"/>
                <w:szCs w:val="20"/>
              </w:rPr>
            </w:pPr>
            <w:r w:rsidRPr="002C0831">
              <w:rPr>
                <w:sz w:val="20"/>
                <w:szCs w:val="20"/>
              </w:rPr>
              <w:t>Sozialamt</w:t>
            </w:r>
          </w:p>
        </w:tc>
        <w:tc>
          <w:tcPr>
            <w:tcW w:w="968" w:type="dxa"/>
          </w:tcPr>
          <w:p w:rsidR="005F5B3D" w:rsidRPr="00E001A8" w:rsidRDefault="00287C0E" w:rsidP="00E001A8">
            <w:pPr>
              <w:rPr>
                <w:sz w:val="20"/>
                <w:szCs w:val="20"/>
              </w:rPr>
            </w:pPr>
            <w:r w:rsidRPr="00E001A8">
              <w:rPr>
                <w:sz w:val="20"/>
                <w:szCs w:val="20"/>
              </w:rPr>
              <w:t xml:space="preserve">EG </w:t>
            </w:r>
            <w:r w:rsidR="00CF74C8" w:rsidRPr="00E001A8">
              <w:rPr>
                <w:sz w:val="20"/>
                <w:szCs w:val="20"/>
              </w:rPr>
              <w:t>9a</w:t>
            </w:r>
          </w:p>
        </w:tc>
        <w:tc>
          <w:tcPr>
            <w:tcW w:w="1725" w:type="dxa"/>
          </w:tcPr>
          <w:p w:rsidR="00CF74C8" w:rsidRPr="00E001A8" w:rsidRDefault="00CF74C8" w:rsidP="00D825B5">
            <w:pPr>
              <w:rPr>
                <w:sz w:val="20"/>
                <w:szCs w:val="20"/>
              </w:rPr>
            </w:pPr>
            <w:r w:rsidRPr="00E001A8">
              <w:rPr>
                <w:sz w:val="20"/>
                <w:szCs w:val="20"/>
              </w:rPr>
              <w:t>Sachbearbeiter/-in</w:t>
            </w:r>
          </w:p>
        </w:tc>
        <w:tc>
          <w:tcPr>
            <w:tcW w:w="940" w:type="dxa"/>
            <w:shd w:val="clear" w:color="auto" w:fill="auto"/>
          </w:tcPr>
          <w:p w:rsidR="005F5B3D" w:rsidRPr="002C0831" w:rsidRDefault="00E65234" w:rsidP="00E65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3D29" w:rsidRPr="002C083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563D29" w:rsidRPr="002C083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F5B3D" w:rsidRPr="002C0831" w:rsidRDefault="00AD4E02" w:rsidP="008B5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F5B3D" w:rsidRPr="002C0831" w:rsidRDefault="00AD4E02" w:rsidP="00AD4E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113.050</w:t>
            </w:r>
          </w:p>
        </w:tc>
      </w:tr>
    </w:tbl>
    <w:p w:rsidR="003D7B0B" w:rsidRPr="00D95A1A" w:rsidRDefault="006E0575" w:rsidP="008B5C87">
      <w:pPr>
        <w:pStyle w:val="berschrift1"/>
      </w:pPr>
      <w:r w:rsidRPr="00D95A1A">
        <w:t>1</w:t>
      </w:r>
      <w:r w:rsidR="00884D6C" w:rsidRPr="00D95A1A">
        <w:tab/>
      </w:r>
      <w:r w:rsidR="003D7B0B" w:rsidRPr="00D95A1A">
        <w:t>Antra</w:t>
      </w:r>
      <w:r w:rsidR="003D7B0B" w:rsidRPr="00D95A1A">
        <w:rPr>
          <w:u w:val="none"/>
        </w:rPr>
        <w:t>g</w:t>
      </w:r>
      <w:r w:rsidR="003D7B0B" w:rsidRPr="00D95A1A">
        <w:t>, Stellenausstattun</w:t>
      </w:r>
      <w:r w:rsidR="003D7B0B" w:rsidRPr="00D95A1A">
        <w:rPr>
          <w:u w:val="none"/>
        </w:rPr>
        <w:t>g</w:t>
      </w:r>
    </w:p>
    <w:p w:rsidR="003D7B0B" w:rsidRPr="00D95A1A" w:rsidRDefault="00C354F9" w:rsidP="008B5C87">
      <w:r w:rsidRPr="00D95A1A">
        <w:t xml:space="preserve">Beantragt wird die </w:t>
      </w:r>
      <w:r w:rsidRPr="00CF26B0">
        <w:t xml:space="preserve">Schaffung </w:t>
      </w:r>
      <w:r w:rsidR="00C26BC3" w:rsidRPr="00CF26B0">
        <w:t>von</w:t>
      </w:r>
      <w:r w:rsidRPr="00CF26B0">
        <w:t xml:space="preserve"> </w:t>
      </w:r>
      <w:r w:rsidR="00E65234">
        <w:t>1</w:t>
      </w:r>
      <w:r w:rsidR="00880A02">
        <w:t>,</w:t>
      </w:r>
      <w:r w:rsidR="00E65234">
        <w:t>9</w:t>
      </w:r>
      <w:r w:rsidR="00563D29" w:rsidRPr="009223E6">
        <w:t>0</w:t>
      </w:r>
      <w:r w:rsidR="00880A02" w:rsidRPr="009223E6">
        <w:t xml:space="preserve"> </w:t>
      </w:r>
      <w:r w:rsidRPr="009223E6">
        <w:t>Stelle</w:t>
      </w:r>
      <w:r w:rsidR="00C26BC3" w:rsidRPr="009223E6">
        <w:t>n</w:t>
      </w:r>
      <w:r w:rsidRPr="009223E6">
        <w:t xml:space="preserve"> </w:t>
      </w:r>
      <w:r w:rsidR="002B1C20" w:rsidRPr="009223E6">
        <w:t xml:space="preserve">in </w:t>
      </w:r>
      <w:r w:rsidR="002B1C20" w:rsidRPr="00E001A8">
        <w:t xml:space="preserve">EG </w:t>
      </w:r>
      <w:r w:rsidR="00CF74C8" w:rsidRPr="00E001A8">
        <w:t xml:space="preserve">9a </w:t>
      </w:r>
      <w:r w:rsidR="002B1C20" w:rsidRPr="009223E6">
        <w:t xml:space="preserve">TVöD </w:t>
      </w:r>
      <w:r w:rsidRPr="00D95A1A">
        <w:t xml:space="preserve">beim </w:t>
      </w:r>
      <w:r w:rsidRPr="008B5C87">
        <w:t>Sozialamt</w:t>
      </w:r>
      <w:r w:rsidR="000B62A1">
        <w:t xml:space="preserve"> für </w:t>
      </w:r>
      <w:r w:rsidR="00AD4E02">
        <w:t xml:space="preserve">die </w:t>
      </w:r>
      <w:r w:rsidR="000B62A1">
        <w:t xml:space="preserve">Vermittlung im Rahmen der ordnungsrechtlichen Unterbringung von akut obdachlos gewordenen Menschen </w:t>
      </w:r>
      <w:r w:rsidR="005A199E">
        <w:t xml:space="preserve">in Sozialunterkünften </w:t>
      </w:r>
      <w:r w:rsidR="000B62A1">
        <w:t>bei der</w:t>
      </w:r>
      <w:r w:rsidRPr="00D95A1A">
        <w:t xml:space="preserve"> Abteilung Sozialarbeit und Betreuungsbehörde, </w:t>
      </w:r>
      <w:r w:rsidR="00480904" w:rsidRPr="00480904">
        <w:t>Zentrale Fachstelle der Wohnungsnotfallhilfe (50-435)</w:t>
      </w:r>
      <w:r w:rsidR="005A199E">
        <w:t>.</w:t>
      </w:r>
    </w:p>
    <w:p w:rsidR="003D7B0B" w:rsidRPr="00D95A1A" w:rsidRDefault="003D7B0B" w:rsidP="008B5C87">
      <w:pPr>
        <w:pStyle w:val="berschrift1"/>
      </w:pPr>
      <w:r w:rsidRPr="00D95A1A">
        <w:t>2</w:t>
      </w:r>
      <w:r w:rsidRPr="00D95A1A">
        <w:tab/>
        <w:t>Schaffun</w:t>
      </w:r>
      <w:r w:rsidRPr="00D95A1A">
        <w:rPr>
          <w:u w:val="none"/>
        </w:rPr>
        <w:t>g</w:t>
      </w:r>
      <w:r w:rsidRPr="00D95A1A">
        <w:t>skriterien</w:t>
      </w:r>
    </w:p>
    <w:p w:rsidR="00563D29" w:rsidRPr="009223E6" w:rsidRDefault="00563D29" w:rsidP="00CF26B0">
      <w:r w:rsidRPr="009223E6">
        <w:t>Die Zahl der Vermittlung von akut obdachlos</w:t>
      </w:r>
      <w:r w:rsidR="00164BF2">
        <w:t xml:space="preserve"> gewordenen Menschen hat sich</w:t>
      </w:r>
      <w:r w:rsidRPr="009223E6">
        <w:t xml:space="preserve"> </w:t>
      </w:r>
      <w:r w:rsidR="00FB6B0E">
        <w:t>vom Stichtag 01.07.2015 bis 01.07.2018 von 563</w:t>
      </w:r>
      <w:r w:rsidR="00BB7170" w:rsidRPr="009223E6">
        <w:t xml:space="preserve"> Menschen auf 848 Menschen erhöht. Dies bedeutet eine Fallzahl</w:t>
      </w:r>
      <w:r w:rsidR="00FB6B0E">
        <w:t xml:space="preserve">ensteigerung in </w:t>
      </w:r>
      <w:r w:rsidR="00CF74C8" w:rsidRPr="00E001A8">
        <w:t>3</w:t>
      </w:r>
      <w:r w:rsidR="00CF74C8">
        <w:rPr>
          <w:color w:val="4F81BD" w:themeColor="accent1"/>
        </w:rPr>
        <w:t xml:space="preserve"> </w:t>
      </w:r>
      <w:r w:rsidR="00FB6B0E">
        <w:t>Jahren um 50</w:t>
      </w:r>
      <w:r w:rsidR="00247BDD" w:rsidRPr="009223E6">
        <w:t>,</w:t>
      </w:r>
      <w:r w:rsidR="00BB7170" w:rsidRPr="009223E6">
        <w:t>6</w:t>
      </w:r>
      <w:r w:rsidR="00FB6B0E">
        <w:t>2</w:t>
      </w:r>
      <w:r w:rsidR="00164BF2">
        <w:t xml:space="preserve"> </w:t>
      </w:r>
      <w:r w:rsidR="00BB7170" w:rsidRPr="009223E6">
        <w:t>%.</w:t>
      </w:r>
    </w:p>
    <w:p w:rsidR="00BB7170" w:rsidRDefault="00BB7170" w:rsidP="007F2869">
      <w:pPr>
        <w:pStyle w:val="berschrift1"/>
      </w:pPr>
      <w:r>
        <w:t>3</w:t>
      </w:r>
      <w:r>
        <w:tab/>
        <w:t>Bedarf</w:t>
      </w:r>
    </w:p>
    <w:p w:rsidR="00DB6405" w:rsidRPr="009223E6" w:rsidRDefault="00DB6405" w:rsidP="00880A02">
      <w:r w:rsidRPr="009223E6">
        <w:t>Die Aufgabe</w:t>
      </w:r>
      <w:r w:rsidR="006F3BEC">
        <w:t>,</w:t>
      </w:r>
      <w:r w:rsidRPr="009223E6">
        <w:t xml:space="preserve"> der für die Vermittlung vorhandenen 3,75 Stellen</w:t>
      </w:r>
      <w:r w:rsidR="006F3BEC">
        <w:t>,</w:t>
      </w:r>
      <w:r w:rsidRPr="009223E6">
        <w:t xml:space="preserve"> umfasst die Beratung </w:t>
      </w:r>
      <w:r w:rsidR="00BE366C" w:rsidRPr="009223E6">
        <w:t xml:space="preserve">der zuständigen sozialen Dienste </w:t>
      </w:r>
      <w:r w:rsidR="00164BF2">
        <w:t>für</w:t>
      </w:r>
      <w:r w:rsidRPr="009223E6">
        <w:t xml:space="preserve"> Menschen, die ihre Wohnung verloren haben, die Information über geeignete Anlaufstellen im Hilfesystem der Wohnungsnotfallhilfe sowie die </w:t>
      </w:r>
      <w:r w:rsidR="00CF4600">
        <w:t>Ad-hoc-</w:t>
      </w:r>
      <w:r w:rsidR="00DF56CC" w:rsidRPr="009223E6">
        <w:t>Organisation der Unterbringung in Sozialunterkünften</w:t>
      </w:r>
      <w:r w:rsidR="00247BDD" w:rsidRPr="009223E6">
        <w:t>. Dies erfolgt</w:t>
      </w:r>
      <w:r w:rsidR="00DF56CC" w:rsidRPr="009223E6">
        <w:t xml:space="preserve"> i.</w:t>
      </w:r>
      <w:r w:rsidR="008837BA">
        <w:t> </w:t>
      </w:r>
      <w:r w:rsidR="00DF56CC" w:rsidRPr="009223E6">
        <w:t>d.</w:t>
      </w:r>
      <w:r w:rsidR="008837BA">
        <w:t> </w:t>
      </w:r>
      <w:r w:rsidR="00DF56CC" w:rsidRPr="009223E6">
        <w:t>R. ohne direkten Kontakt mit den unterzubringenden</w:t>
      </w:r>
      <w:r w:rsidR="00247BDD" w:rsidRPr="009223E6">
        <w:t xml:space="preserve"> Personen</w:t>
      </w:r>
      <w:r w:rsidR="00DF56CC" w:rsidRPr="009223E6">
        <w:t xml:space="preserve"> auf Vorschlag der im Hilfesystem zuständigen Stellen</w:t>
      </w:r>
      <w:r w:rsidR="001D5E2B">
        <w:t>.</w:t>
      </w:r>
      <w:r w:rsidRPr="009223E6">
        <w:t xml:space="preserve"> </w:t>
      </w:r>
    </w:p>
    <w:p w:rsidR="00BB7170" w:rsidRDefault="00880A02" w:rsidP="00880A02">
      <w:r>
        <w:t xml:space="preserve">Die Fallzahlen, die von der Zentralen Fachstelle </w:t>
      </w:r>
      <w:r w:rsidR="000024A8">
        <w:t>bei der</w:t>
      </w:r>
      <w:r w:rsidR="00AA368A">
        <w:t xml:space="preserve"> Vermittlung </w:t>
      </w:r>
      <w:r w:rsidR="000024A8">
        <w:t>von akut obdachlosen Personen in Sozialunt</w:t>
      </w:r>
      <w:r w:rsidR="00AA368A">
        <w:t>er</w:t>
      </w:r>
      <w:r w:rsidR="000024A8">
        <w:t>k</w:t>
      </w:r>
      <w:r w:rsidR="00AA368A">
        <w:t>ünfte</w:t>
      </w:r>
      <w:r w:rsidR="006F3BEC">
        <w:t>n</w:t>
      </w:r>
      <w:r w:rsidR="00AA368A">
        <w:t xml:space="preserve"> </w:t>
      </w:r>
      <w:r>
        <w:t xml:space="preserve">zu bearbeiten sind, haben in den letzten </w:t>
      </w:r>
      <w:r w:rsidR="00CF74C8" w:rsidRPr="00AD4E02">
        <w:t>3</w:t>
      </w:r>
      <w:r>
        <w:t xml:space="preserve"> Jahren </w:t>
      </w:r>
      <w:r w:rsidR="00FB6B0E">
        <w:t>stark zugenommen</w:t>
      </w:r>
      <w:r w:rsidR="00E65234">
        <w:t>. Im Jahr 2015</w:t>
      </w:r>
      <w:r>
        <w:t xml:space="preserve"> </w:t>
      </w:r>
      <w:r w:rsidR="00E65234">
        <w:t>(Stichtag 01.07.2015</w:t>
      </w:r>
      <w:r w:rsidR="00DB6405">
        <w:t xml:space="preserve">) </w:t>
      </w:r>
      <w:r>
        <w:t>wurden</w:t>
      </w:r>
      <w:r w:rsidR="00E65234">
        <w:t xml:space="preserve"> in der Zentralen Fachstelle 563</w:t>
      </w:r>
      <w:r>
        <w:t xml:space="preserve"> vermittelte Personen in Sozialunterkünften geführt. </w:t>
      </w:r>
      <w:r w:rsidR="00DB6405">
        <w:t xml:space="preserve">Am Stichtag 01.07.2018 waren es 848 Personen. </w:t>
      </w:r>
      <w:r w:rsidR="000966E8">
        <w:t>Dies ergibt</w:t>
      </w:r>
      <w:r w:rsidR="00C54B4B">
        <w:t xml:space="preserve"> eine Fallzahlensteigerung von </w:t>
      </w:r>
      <w:r w:rsidR="00FB6B0E">
        <w:t>rund 51</w:t>
      </w:r>
      <w:r w:rsidR="006A06A8">
        <w:t> </w:t>
      </w:r>
      <w:r w:rsidR="00C54B4B">
        <w:t>%.</w:t>
      </w:r>
    </w:p>
    <w:p w:rsidR="00FB6B0E" w:rsidRDefault="00FB6B0E" w:rsidP="00880A02"/>
    <w:p w:rsidR="00FB6B0E" w:rsidRDefault="00FB6B0E" w:rsidP="00880A02"/>
    <w:p w:rsidR="00B92454" w:rsidRDefault="00B92454" w:rsidP="00880A02"/>
    <w:p w:rsidR="00DB6405" w:rsidRPr="005A199E" w:rsidRDefault="00DB6405" w:rsidP="00DB6405">
      <w:pPr>
        <w:rPr>
          <w:b/>
        </w:rPr>
      </w:pPr>
      <w:r w:rsidRPr="005A199E">
        <w:rPr>
          <w:b/>
        </w:rPr>
        <w:lastRenderedPageBreak/>
        <w:t>Fallzahlensteigerungen in Sozialunterkünften:</w:t>
      </w:r>
    </w:p>
    <w:tbl>
      <w:tblPr>
        <w:tblStyle w:val="Tabellenraster"/>
        <w:tblW w:w="8505" w:type="dxa"/>
        <w:tblLook w:val="04A0" w:firstRow="1" w:lastRow="0" w:firstColumn="1" w:lastColumn="0" w:noHBand="0" w:noVBand="1"/>
      </w:tblPr>
      <w:tblGrid>
        <w:gridCol w:w="2885"/>
        <w:gridCol w:w="1124"/>
        <w:gridCol w:w="1124"/>
        <w:gridCol w:w="1124"/>
        <w:gridCol w:w="1124"/>
        <w:gridCol w:w="1124"/>
      </w:tblGrid>
      <w:tr w:rsidR="00DB6405" w:rsidTr="00545058">
        <w:tc>
          <w:tcPr>
            <w:tcW w:w="8505" w:type="dxa"/>
            <w:gridSpan w:val="6"/>
          </w:tcPr>
          <w:p w:rsidR="00DB6405" w:rsidRPr="00EA061D" w:rsidRDefault="00DB6405" w:rsidP="00545058">
            <w:pPr>
              <w:rPr>
                <w:b/>
                <w:sz w:val="20"/>
                <w:szCs w:val="20"/>
              </w:rPr>
            </w:pPr>
            <w:r w:rsidRPr="00EA061D">
              <w:rPr>
                <w:b/>
                <w:sz w:val="20"/>
                <w:szCs w:val="20"/>
              </w:rPr>
              <w:t>Am Stichtag 01.07.2018 untergebrachte Personen</w:t>
            </w:r>
            <w:r>
              <w:rPr>
                <w:b/>
                <w:sz w:val="20"/>
                <w:szCs w:val="20"/>
              </w:rPr>
              <w:t xml:space="preserve"> in Sozialunterkünften</w:t>
            </w:r>
          </w:p>
        </w:tc>
      </w:tr>
      <w:tr w:rsidR="00DB6405" w:rsidTr="00545058">
        <w:tc>
          <w:tcPr>
            <w:tcW w:w="2885" w:type="dxa"/>
          </w:tcPr>
          <w:p w:rsidR="00DB6405" w:rsidRPr="00175FF0" w:rsidRDefault="00DB6405" w:rsidP="005450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DB6405" w:rsidRPr="00BF2569" w:rsidRDefault="00DB6405" w:rsidP="00545058">
            <w:pPr>
              <w:rPr>
                <w:b/>
                <w:sz w:val="20"/>
                <w:szCs w:val="20"/>
              </w:rPr>
            </w:pPr>
            <w:r w:rsidRPr="00BF2569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24" w:type="dxa"/>
          </w:tcPr>
          <w:p w:rsidR="00DB6405" w:rsidRPr="00BF2569" w:rsidRDefault="00DB6405" w:rsidP="00545058">
            <w:pPr>
              <w:rPr>
                <w:b/>
                <w:sz w:val="20"/>
                <w:szCs w:val="20"/>
              </w:rPr>
            </w:pPr>
            <w:r w:rsidRPr="00BF256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24" w:type="dxa"/>
          </w:tcPr>
          <w:p w:rsidR="00DB6405" w:rsidRPr="00BF2569" w:rsidRDefault="00DB6405" w:rsidP="00545058">
            <w:pPr>
              <w:rPr>
                <w:b/>
                <w:sz w:val="20"/>
                <w:szCs w:val="20"/>
              </w:rPr>
            </w:pPr>
            <w:r w:rsidRPr="00BF256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24" w:type="dxa"/>
          </w:tcPr>
          <w:p w:rsidR="00DB6405" w:rsidRPr="00BF2569" w:rsidRDefault="00DB6405" w:rsidP="00545058">
            <w:pPr>
              <w:rPr>
                <w:b/>
                <w:sz w:val="20"/>
                <w:szCs w:val="20"/>
              </w:rPr>
            </w:pPr>
            <w:r w:rsidRPr="00BF2569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24" w:type="dxa"/>
          </w:tcPr>
          <w:p w:rsidR="00DB6405" w:rsidRPr="00BF2569" w:rsidRDefault="00DB6405" w:rsidP="00545058">
            <w:pPr>
              <w:rPr>
                <w:b/>
                <w:sz w:val="20"/>
                <w:szCs w:val="20"/>
              </w:rPr>
            </w:pPr>
            <w:r w:rsidRPr="00BF2569">
              <w:rPr>
                <w:b/>
                <w:sz w:val="20"/>
                <w:szCs w:val="20"/>
              </w:rPr>
              <w:t>2018</w:t>
            </w:r>
          </w:p>
        </w:tc>
      </w:tr>
      <w:tr w:rsidR="00DB6405" w:rsidTr="00545058">
        <w:tc>
          <w:tcPr>
            <w:tcW w:w="2885" w:type="dxa"/>
          </w:tcPr>
          <w:p w:rsidR="00DB6405" w:rsidRPr="00175FF0" w:rsidRDefault="00DB6405" w:rsidP="005450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1124" w:type="dxa"/>
          </w:tcPr>
          <w:p w:rsidR="00DB6405" w:rsidRPr="0077728B" w:rsidRDefault="00DB6405" w:rsidP="00545058">
            <w:pPr>
              <w:rPr>
                <w:b/>
                <w:sz w:val="20"/>
                <w:szCs w:val="20"/>
              </w:rPr>
            </w:pPr>
            <w:r w:rsidRPr="0077728B"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1124" w:type="dxa"/>
          </w:tcPr>
          <w:p w:rsidR="00DB6405" w:rsidRPr="0077728B" w:rsidRDefault="00DB6405" w:rsidP="00545058">
            <w:pPr>
              <w:rPr>
                <w:b/>
                <w:sz w:val="20"/>
                <w:szCs w:val="20"/>
              </w:rPr>
            </w:pPr>
            <w:r w:rsidRPr="0077728B">
              <w:rPr>
                <w:b/>
                <w:sz w:val="20"/>
                <w:szCs w:val="20"/>
              </w:rPr>
              <w:t>563</w:t>
            </w:r>
          </w:p>
        </w:tc>
        <w:tc>
          <w:tcPr>
            <w:tcW w:w="1124" w:type="dxa"/>
          </w:tcPr>
          <w:p w:rsidR="00DB6405" w:rsidRPr="0077728B" w:rsidRDefault="00DB6405" w:rsidP="00545058">
            <w:pPr>
              <w:rPr>
                <w:b/>
                <w:sz w:val="20"/>
                <w:szCs w:val="20"/>
              </w:rPr>
            </w:pPr>
            <w:r w:rsidRPr="0077728B">
              <w:rPr>
                <w:b/>
                <w:sz w:val="20"/>
                <w:szCs w:val="20"/>
              </w:rPr>
              <w:t>683</w:t>
            </w:r>
          </w:p>
        </w:tc>
        <w:tc>
          <w:tcPr>
            <w:tcW w:w="1124" w:type="dxa"/>
          </w:tcPr>
          <w:p w:rsidR="00DB6405" w:rsidRPr="0077728B" w:rsidRDefault="00DB6405" w:rsidP="00545058">
            <w:pPr>
              <w:rPr>
                <w:b/>
                <w:sz w:val="20"/>
                <w:szCs w:val="20"/>
              </w:rPr>
            </w:pPr>
            <w:r w:rsidRPr="0077728B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1124" w:type="dxa"/>
          </w:tcPr>
          <w:p w:rsidR="00DB6405" w:rsidRPr="0077728B" w:rsidRDefault="00DB6405" w:rsidP="00545058">
            <w:pPr>
              <w:rPr>
                <w:b/>
                <w:sz w:val="20"/>
                <w:szCs w:val="20"/>
              </w:rPr>
            </w:pPr>
            <w:r w:rsidRPr="0077728B">
              <w:rPr>
                <w:b/>
                <w:sz w:val="20"/>
                <w:szCs w:val="20"/>
              </w:rPr>
              <w:t>848</w:t>
            </w:r>
          </w:p>
        </w:tc>
      </w:tr>
    </w:tbl>
    <w:p w:rsidR="00B92454" w:rsidRPr="000966E8" w:rsidRDefault="00DB6405" w:rsidP="00C54B4B">
      <w:pPr>
        <w:rPr>
          <w:sz w:val="20"/>
          <w:szCs w:val="20"/>
        </w:rPr>
      </w:pPr>
      <w:r>
        <w:rPr>
          <w:sz w:val="20"/>
          <w:szCs w:val="20"/>
        </w:rPr>
        <w:t xml:space="preserve">Quelle: </w:t>
      </w:r>
      <w:proofErr w:type="spellStart"/>
      <w:r>
        <w:rPr>
          <w:sz w:val="20"/>
          <w:szCs w:val="20"/>
        </w:rPr>
        <w:t>SoPart</w:t>
      </w:r>
      <w:proofErr w:type="spellEnd"/>
      <w:r>
        <w:rPr>
          <w:sz w:val="20"/>
          <w:szCs w:val="20"/>
        </w:rPr>
        <w:t xml:space="preserve"> (Zahlen aus den J</w:t>
      </w:r>
      <w:r w:rsidRPr="00DF089E">
        <w:rPr>
          <w:sz w:val="20"/>
          <w:szCs w:val="20"/>
        </w:rPr>
        <w:t xml:space="preserve">ahren davor sind wegen </w:t>
      </w:r>
      <w:r w:rsidRPr="00DF089E">
        <w:rPr>
          <w:rFonts w:cs="Arial"/>
          <w:sz w:val="20"/>
          <w:szCs w:val="20"/>
        </w:rPr>
        <w:t>Softwareumstellung nicht auswertbar</w:t>
      </w:r>
      <w:r>
        <w:rPr>
          <w:rFonts w:cs="Arial"/>
          <w:sz w:val="20"/>
          <w:szCs w:val="20"/>
        </w:rPr>
        <w:t>)</w:t>
      </w:r>
    </w:p>
    <w:p w:rsidR="000966E8" w:rsidRDefault="000966E8" w:rsidP="00C54B4B">
      <w:r>
        <w:t>Die Steigerung spiegelt sich auch in der Zunahme der Sozialunterkünfte, mit denen die Zentrale Fachstelle zusammenarbeitet. Die Anzahl der Sozialunterkünfte (ohne Not</w:t>
      </w:r>
      <w:r w:rsidR="00AD4E02">
        <w:t>-</w:t>
      </w:r>
      <w:r>
        <w:t>übernachtung</w:t>
      </w:r>
      <w:r w:rsidR="008A3218">
        <w:t>)</w:t>
      </w:r>
      <w:bookmarkStart w:id="0" w:name="_GoBack"/>
      <w:bookmarkEnd w:id="0"/>
      <w:r>
        <w:t xml:space="preserve"> hat sich von 2008 bis 2018 von 17 auf 41 Objekte mehr als verdoppelt.</w:t>
      </w:r>
    </w:p>
    <w:p w:rsidR="00FB6B0E" w:rsidRDefault="00FB6B0E" w:rsidP="00880A02"/>
    <w:p w:rsidR="002E3E31" w:rsidRDefault="000024A8" w:rsidP="00880A02">
      <w:r w:rsidRPr="003A6D0E">
        <w:t>Nach § 1 des Landespolizeigesetzes (</w:t>
      </w:r>
      <w:proofErr w:type="spellStart"/>
      <w:r w:rsidRPr="003A6D0E">
        <w:t>PolG</w:t>
      </w:r>
      <w:proofErr w:type="spellEnd"/>
      <w:r w:rsidRPr="003A6D0E">
        <w:t>) ist</w:t>
      </w:r>
      <w:r>
        <w:t xml:space="preserve"> die Landeshauptstadt</w:t>
      </w:r>
      <w:r w:rsidRPr="003A6D0E">
        <w:t xml:space="preserve"> Stuttgart verpflichtet, unfreiwillig Obdachlose unterzubringen. Dieser Pflicht wird in der Regel durch Sozialunterkünfte (sowie Notübernachtungen) nachgekommen. Die Zentrale Fachstelle der Wohnungsnotfallhilfe des Sozialamts kann den Zugang </w:t>
      </w:r>
      <w:r w:rsidR="008B25FA">
        <w:t xml:space="preserve">aus rechtlichen Gründen </w:t>
      </w:r>
      <w:r w:rsidRPr="003A6D0E">
        <w:t>nicht begrenzen</w:t>
      </w:r>
      <w:r>
        <w:t xml:space="preserve">, was vor dem Hintergrund der Wohnungsknappheit in Stuttgart zu weiteren Verschärfungen führen wird. </w:t>
      </w:r>
    </w:p>
    <w:p w:rsidR="00345E20" w:rsidRPr="005D370F" w:rsidRDefault="00AA1A0C" w:rsidP="000024A8">
      <w:r w:rsidRPr="005D370F">
        <w:t>Die bereits vorhandenen 3,75 vorhandenen Stellen</w:t>
      </w:r>
      <w:r w:rsidR="00DF56CC" w:rsidRPr="005D370F">
        <w:t xml:space="preserve"> in EG 9a TVöD</w:t>
      </w:r>
      <w:r w:rsidRPr="005D370F">
        <w:t xml:space="preserve"> werden wie bisher vorwiegend </w:t>
      </w:r>
      <w:r w:rsidR="003555A7" w:rsidRPr="005D370F">
        <w:t xml:space="preserve">informierende, </w:t>
      </w:r>
      <w:r w:rsidRPr="005D370F">
        <w:t>organisierende, prüfende und abrechnungstechnische Aufgaben wahrnehmen, mit denen sie aufgrund des Fallzahlenzuwachses vo</w:t>
      </w:r>
      <w:r w:rsidR="00E86513" w:rsidRPr="005D370F">
        <w:t>ll ausgelastet sind.</w:t>
      </w:r>
    </w:p>
    <w:p w:rsidR="003D7B0B" w:rsidRDefault="00884D6C" w:rsidP="008B5C87">
      <w:pPr>
        <w:pStyle w:val="berschrift2"/>
      </w:pPr>
      <w:r w:rsidRPr="00D95A1A">
        <w:t>3.1</w:t>
      </w:r>
      <w:r w:rsidRPr="00D95A1A">
        <w:tab/>
      </w:r>
      <w:r w:rsidR="006E0575" w:rsidRPr="00D95A1A">
        <w:t>Anlass</w:t>
      </w:r>
    </w:p>
    <w:p w:rsidR="00B504A1" w:rsidRDefault="000024A8" w:rsidP="000024A8">
      <w:r>
        <w:t xml:space="preserve">Die schwierigen Auswirkungen der Zunahme ordnungsrechtlicher Unterbringungen in Sozialunterkünften wurde zuletzt wiederholt im Sozial- und Gesundheitsausschuss dargestellt (vgl. </w:t>
      </w:r>
      <w:proofErr w:type="spellStart"/>
      <w:r>
        <w:t>GRDrs</w:t>
      </w:r>
      <w:proofErr w:type="spellEnd"/>
      <w:r>
        <w:t xml:space="preserve"> 397/2018 „Unterstützung für Familien und Alleinerziehende in Sozialpensionen“ und Präsentation „Ordnungsrechtliche Unterbringung in Sozialunterkünften. Rahmenbedingungen, Fakten und derzeitige Praxis“ zum TOP 4 </w:t>
      </w:r>
      <w:r w:rsidR="002E7DC1">
        <w:t>des SGA vom</w:t>
      </w:r>
      <w:r>
        <w:t xml:space="preserve"> 10.12.2018 „Kinder nicht in Sozialpensionen unterbringen - Transparenz bei Vermiet</w:t>
      </w:r>
      <w:r w:rsidR="002E7DC1">
        <w:t>ungsverträgen mit Sozialhotels“</w:t>
      </w:r>
      <w:r w:rsidR="009B6DFB">
        <w:t>)</w:t>
      </w:r>
      <w:r>
        <w:t>.</w:t>
      </w:r>
    </w:p>
    <w:p w:rsidR="002E3E31" w:rsidRDefault="000024A8" w:rsidP="000024A8">
      <w:r>
        <w:t xml:space="preserve"> </w:t>
      </w:r>
    </w:p>
    <w:p w:rsidR="003D7B0B" w:rsidRPr="00D95A1A" w:rsidRDefault="003D7B0B" w:rsidP="008B5C87">
      <w:pPr>
        <w:pStyle w:val="berschrift2"/>
      </w:pPr>
      <w:r w:rsidRPr="00D95A1A">
        <w:t>3.2</w:t>
      </w:r>
      <w:r w:rsidRPr="00D95A1A">
        <w:tab/>
        <w:t>Bisherige Aufgabenwahrnehmung</w:t>
      </w:r>
    </w:p>
    <w:p w:rsidR="00700D2F" w:rsidRDefault="00700D2F" w:rsidP="001D07B5">
      <w:r w:rsidRPr="0089563B">
        <w:t>Bisher erfolgt die vorwiegend organisatorische Vermittlung</w:t>
      </w:r>
      <w:r w:rsidR="00AD4E02">
        <w:t>,</w:t>
      </w:r>
      <w:r w:rsidRPr="0089563B">
        <w:t xml:space="preserve"> verbunden mit Abrechnungsaufgaben</w:t>
      </w:r>
      <w:r w:rsidR="00AD4E02">
        <w:t>,</w:t>
      </w:r>
      <w:r w:rsidRPr="0089563B">
        <w:t xml:space="preserve"> mit 3,75 Stellen. Der fachlich kontrollierende Anteil beschränkt sich</w:t>
      </w:r>
      <w:r w:rsidR="0088121D">
        <w:t xml:space="preserve"> </w:t>
      </w:r>
      <w:r w:rsidRPr="0089563B">
        <w:t xml:space="preserve">auf einige herausragende schwierige Fälle. </w:t>
      </w:r>
    </w:p>
    <w:p w:rsidR="00B504A1" w:rsidRPr="0089563B" w:rsidRDefault="00B504A1" w:rsidP="001D07B5"/>
    <w:p w:rsidR="003D7B0B" w:rsidRPr="00D95A1A" w:rsidRDefault="006E0575" w:rsidP="008B5C87">
      <w:pPr>
        <w:pStyle w:val="berschrift2"/>
      </w:pPr>
      <w:r w:rsidRPr="00D95A1A">
        <w:t>3.3</w:t>
      </w:r>
      <w:r w:rsidR="003D7B0B" w:rsidRPr="00D95A1A">
        <w:tab/>
        <w:t>Auswirkungen bei Ablehnung der Stellenschaffungen</w:t>
      </w:r>
    </w:p>
    <w:p w:rsidR="002E3E31" w:rsidRDefault="002E3E31" w:rsidP="008B5C87">
      <w:r>
        <w:t xml:space="preserve">Eine geordnete ordnungsrechtliche Unterbringung durch Vermittlung in Sozialunterkünfte ist ohne zusätzliches Personal nicht mehr zu gewährleisten. </w:t>
      </w:r>
    </w:p>
    <w:p w:rsidR="003D7B0B" w:rsidRPr="00D95A1A" w:rsidRDefault="00884D6C" w:rsidP="008B5C87">
      <w:pPr>
        <w:pStyle w:val="berschrift1"/>
      </w:pPr>
      <w:r w:rsidRPr="00D95A1A">
        <w:t>4</w:t>
      </w:r>
      <w:r w:rsidRPr="00D95A1A">
        <w:tab/>
      </w:r>
      <w:r w:rsidR="003D7B0B" w:rsidRPr="00D95A1A">
        <w:t>Stellenvermerke</w:t>
      </w:r>
    </w:p>
    <w:p w:rsidR="003D7B0B" w:rsidRPr="00D95A1A" w:rsidRDefault="003D7B0B" w:rsidP="008B5C87"/>
    <w:p w:rsidR="00F173BB" w:rsidRPr="00D95A1A" w:rsidRDefault="00AD4E02" w:rsidP="008B5C87">
      <w:r>
        <w:t>keine</w:t>
      </w:r>
    </w:p>
    <w:sectPr w:rsidR="00F173BB" w:rsidRPr="00D95A1A" w:rsidSect="00165C0D">
      <w:footerReference w:type="default" r:id="rId8"/>
      <w:footerReference w:type="first" r:id="rId9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745" w:rsidRDefault="00231745" w:rsidP="008B5C87">
      <w:r>
        <w:separator/>
      </w:r>
    </w:p>
  </w:endnote>
  <w:endnote w:type="continuationSeparator" w:id="0">
    <w:p w:rsidR="00231745" w:rsidRDefault="00231745" w:rsidP="008B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5829786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A06A8" w:rsidRDefault="006A06A8" w:rsidP="006A06A8">
        <w:pPr>
          <w:pStyle w:val="Fuzeile"/>
          <w:framePr w:wrap="notBeside" w:vAnchor="text" w:hAnchor="page" w:xAlign="center" w:y="1"/>
          <w:rPr>
            <w:rStyle w:val="Seitenzahl"/>
          </w:rPr>
        </w:pPr>
        <w:r>
          <w:rPr>
            <w:rStyle w:val="Seitenzahl"/>
          </w:rPr>
          <w:t xml:space="preserve">-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A3218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 xml:space="preserve"> -</w:t>
        </w:r>
      </w:p>
    </w:sdtContent>
  </w:sdt>
  <w:p w:rsidR="006A06A8" w:rsidRDefault="006A06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3567047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C3718B" w:rsidRDefault="00C3718B" w:rsidP="00C3718B">
        <w:pPr>
          <w:pStyle w:val="Fuzeile"/>
          <w:framePr w:wrap="notBeside" w:vAnchor="text" w:hAnchor="page" w:xAlign="center" w:y="1"/>
          <w:rPr>
            <w:rStyle w:val="Seitenzahl"/>
          </w:rPr>
        </w:pPr>
        <w:r>
          <w:rPr>
            <w:rStyle w:val="Seitenzahl"/>
          </w:rPr>
          <w:t xml:space="preserve">- </w:t>
        </w: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8A3218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  <w:r>
          <w:rPr>
            <w:rStyle w:val="Seitenzahl"/>
          </w:rPr>
          <w:t xml:space="preserve"> -</w:t>
        </w:r>
      </w:p>
    </w:sdtContent>
  </w:sdt>
  <w:p w:rsidR="00C3718B" w:rsidRDefault="00C371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745" w:rsidRDefault="00231745" w:rsidP="008B5C87">
      <w:r>
        <w:separator/>
      </w:r>
    </w:p>
  </w:footnote>
  <w:footnote w:type="continuationSeparator" w:id="0">
    <w:p w:rsidR="00231745" w:rsidRDefault="00231745" w:rsidP="008B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2E3311"/>
    <w:multiLevelType w:val="hybridMultilevel"/>
    <w:tmpl w:val="BBA66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1C72765B"/>
    <w:multiLevelType w:val="hybridMultilevel"/>
    <w:tmpl w:val="A8BCA884"/>
    <w:lvl w:ilvl="0" w:tplc="0407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7F27"/>
    <w:multiLevelType w:val="hybridMultilevel"/>
    <w:tmpl w:val="05FCDC2E"/>
    <w:lvl w:ilvl="0" w:tplc="F7CA9D7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A4B053B"/>
    <w:multiLevelType w:val="hybridMultilevel"/>
    <w:tmpl w:val="CF2437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84672"/>
    <w:multiLevelType w:val="hybridMultilevel"/>
    <w:tmpl w:val="85DE3B70"/>
    <w:lvl w:ilvl="0" w:tplc="F29867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C27D42"/>
    <w:multiLevelType w:val="hybridMultilevel"/>
    <w:tmpl w:val="374244AA"/>
    <w:lvl w:ilvl="0" w:tplc="F29867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0" w15:restartNumberingAfterBreak="0">
    <w:nsid w:val="496E37C8"/>
    <w:multiLevelType w:val="hybridMultilevel"/>
    <w:tmpl w:val="7598A6DC"/>
    <w:lvl w:ilvl="0" w:tplc="11625442">
      <w:start w:val="1"/>
      <w:numFmt w:val="bullet"/>
      <w:lvlText w:val=""/>
      <w:lvlJc w:val="left"/>
      <w:pPr>
        <w:ind w:left="180" w:hanging="18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C082C"/>
    <w:multiLevelType w:val="hybridMultilevel"/>
    <w:tmpl w:val="6E8EB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22F9A"/>
    <w:multiLevelType w:val="hybridMultilevel"/>
    <w:tmpl w:val="5D340C58"/>
    <w:lvl w:ilvl="0" w:tplc="815C2D0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838AB"/>
    <w:multiLevelType w:val="hybridMultilevel"/>
    <w:tmpl w:val="75885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D1226"/>
    <w:multiLevelType w:val="hybridMultilevel"/>
    <w:tmpl w:val="D064358C"/>
    <w:lvl w:ilvl="0" w:tplc="502E5C3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44821"/>
    <w:multiLevelType w:val="hybridMultilevel"/>
    <w:tmpl w:val="980818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D81120"/>
    <w:multiLevelType w:val="hybridMultilevel"/>
    <w:tmpl w:val="7D42AD12"/>
    <w:lvl w:ilvl="0" w:tplc="F298678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1162544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8E24E4"/>
    <w:multiLevelType w:val="hybridMultilevel"/>
    <w:tmpl w:val="97F28540"/>
    <w:lvl w:ilvl="0" w:tplc="72E4F9A4">
      <w:start w:val="84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9" w15:restartNumberingAfterBreak="0">
    <w:nsid w:val="79CD0157"/>
    <w:multiLevelType w:val="hybridMultilevel"/>
    <w:tmpl w:val="5C0E16C0"/>
    <w:lvl w:ilvl="0" w:tplc="C1765BFC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9"/>
  </w:num>
  <w:num w:numId="5">
    <w:abstractNumId w:val="18"/>
  </w:num>
  <w:num w:numId="6">
    <w:abstractNumId w:val="14"/>
  </w:num>
  <w:num w:numId="7">
    <w:abstractNumId w:val="12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16"/>
  </w:num>
  <w:num w:numId="13">
    <w:abstractNumId w:val="10"/>
  </w:num>
  <w:num w:numId="14">
    <w:abstractNumId w:val="4"/>
  </w:num>
  <w:num w:numId="15">
    <w:abstractNumId w:val="1"/>
  </w:num>
  <w:num w:numId="16">
    <w:abstractNumId w:val="13"/>
  </w:num>
  <w:num w:numId="17">
    <w:abstractNumId w:val="6"/>
  </w:num>
  <w:num w:numId="18">
    <w:abstractNumId w:val="5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A3"/>
    <w:rsid w:val="000024A8"/>
    <w:rsid w:val="00025B50"/>
    <w:rsid w:val="00055758"/>
    <w:rsid w:val="00060A28"/>
    <w:rsid w:val="00060B61"/>
    <w:rsid w:val="00096434"/>
    <w:rsid w:val="000966E8"/>
    <w:rsid w:val="000A1146"/>
    <w:rsid w:val="000B62A1"/>
    <w:rsid w:val="000C7BD2"/>
    <w:rsid w:val="000D3D55"/>
    <w:rsid w:val="000E0884"/>
    <w:rsid w:val="001034AF"/>
    <w:rsid w:val="0010614C"/>
    <w:rsid w:val="0011112B"/>
    <w:rsid w:val="0011145F"/>
    <w:rsid w:val="00112EA3"/>
    <w:rsid w:val="001327A3"/>
    <w:rsid w:val="00143F6B"/>
    <w:rsid w:val="0014415D"/>
    <w:rsid w:val="00146FEA"/>
    <w:rsid w:val="00151488"/>
    <w:rsid w:val="00154554"/>
    <w:rsid w:val="00162F51"/>
    <w:rsid w:val="00163034"/>
    <w:rsid w:val="00164678"/>
    <w:rsid w:val="00164BF2"/>
    <w:rsid w:val="00165C0D"/>
    <w:rsid w:val="00175FF0"/>
    <w:rsid w:val="001762EC"/>
    <w:rsid w:val="00181857"/>
    <w:rsid w:val="00182CA6"/>
    <w:rsid w:val="00184EDC"/>
    <w:rsid w:val="00185E7F"/>
    <w:rsid w:val="00193BAB"/>
    <w:rsid w:val="00194770"/>
    <w:rsid w:val="00195D78"/>
    <w:rsid w:val="001972C1"/>
    <w:rsid w:val="001A04D4"/>
    <w:rsid w:val="001A375D"/>
    <w:rsid w:val="001A5F9B"/>
    <w:rsid w:val="001A6A53"/>
    <w:rsid w:val="001B1725"/>
    <w:rsid w:val="001D07B5"/>
    <w:rsid w:val="001D5AFD"/>
    <w:rsid w:val="001D5E2B"/>
    <w:rsid w:val="001F2C0E"/>
    <w:rsid w:val="001F40B7"/>
    <w:rsid w:val="001F7237"/>
    <w:rsid w:val="00200DE6"/>
    <w:rsid w:val="002209C7"/>
    <w:rsid w:val="00221733"/>
    <w:rsid w:val="00231745"/>
    <w:rsid w:val="002412BC"/>
    <w:rsid w:val="00247BDD"/>
    <w:rsid w:val="0027315F"/>
    <w:rsid w:val="00285C40"/>
    <w:rsid w:val="00287C0E"/>
    <w:rsid w:val="002924CB"/>
    <w:rsid w:val="002A17D0"/>
    <w:rsid w:val="002A20D1"/>
    <w:rsid w:val="002A40C8"/>
    <w:rsid w:val="002A4DE3"/>
    <w:rsid w:val="002A5DBE"/>
    <w:rsid w:val="002B1840"/>
    <w:rsid w:val="002B1C20"/>
    <w:rsid w:val="002B5955"/>
    <w:rsid w:val="002B623E"/>
    <w:rsid w:val="002C0831"/>
    <w:rsid w:val="002C34FE"/>
    <w:rsid w:val="002D5D1C"/>
    <w:rsid w:val="002E3E31"/>
    <w:rsid w:val="002E5928"/>
    <w:rsid w:val="002E7DC1"/>
    <w:rsid w:val="00305D2C"/>
    <w:rsid w:val="0030686C"/>
    <w:rsid w:val="00320347"/>
    <w:rsid w:val="0032201B"/>
    <w:rsid w:val="00327989"/>
    <w:rsid w:val="0033002A"/>
    <w:rsid w:val="00335822"/>
    <w:rsid w:val="00345E20"/>
    <w:rsid w:val="003528CB"/>
    <w:rsid w:val="003555A7"/>
    <w:rsid w:val="00367DCE"/>
    <w:rsid w:val="00367F9A"/>
    <w:rsid w:val="003751C6"/>
    <w:rsid w:val="003762DA"/>
    <w:rsid w:val="00380937"/>
    <w:rsid w:val="00380ABA"/>
    <w:rsid w:val="00391157"/>
    <w:rsid w:val="003958E4"/>
    <w:rsid w:val="00397717"/>
    <w:rsid w:val="003A0549"/>
    <w:rsid w:val="003A2081"/>
    <w:rsid w:val="003A4E0C"/>
    <w:rsid w:val="003A6D0E"/>
    <w:rsid w:val="003B1B21"/>
    <w:rsid w:val="003C69CD"/>
    <w:rsid w:val="003D0092"/>
    <w:rsid w:val="003D7B0B"/>
    <w:rsid w:val="003F09AE"/>
    <w:rsid w:val="003F0FAA"/>
    <w:rsid w:val="003F258A"/>
    <w:rsid w:val="003F417E"/>
    <w:rsid w:val="003F49B3"/>
    <w:rsid w:val="00407FB5"/>
    <w:rsid w:val="004215A4"/>
    <w:rsid w:val="004219B4"/>
    <w:rsid w:val="00422B15"/>
    <w:rsid w:val="00424A9E"/>
    <w:rsid w:val="00441935"/>
    <w:rsid w:val="00457A4F"/>
    <w:rsid w:val="00461BDE"/>
    <w:rsid w:val="0046557F"/>
    <w:rsid w:val="00470135"/>
    <w:rsid w:val="004708BE"/>
    <w:rsid w:val="00473400"/>
    <w:rsid w:val="004739D6"/>
    <w:rsid w:val="00475E62"/>
    <w:rsid w:val="0047606A"/>
    <w:rsid w:val="00480904"/>
    <w:rsid w:val="004908B5"/>
    <w:rsid w:val="0049121B"/>
    <w:rsid w:val="00495BE0"/>
    <w:rsid w:val="004A1688"/>
    <w:rsid w:val="004A7BDF"/>
    <w:rsid w:val="004B6796"/>
    <w:rsid w:val="004C41E1"/>
    <w:rsid w:val="004C5A93"/>
    <w:rsid w:val="004E3A99"/>
    <w:rsid w:val="00500AF5"/>
    <w:rsid w:val="00510720"/>
    <w:rsid w:val="00514FC3"/>
    <w:rsid w:val="00515ADA"/>
    <w:rsid w:val="00516041"/>
    <w:rsid w:val="00517976"/>
    <w:rsid w:val="005200C9"/>
    <w:rsid w:val="00544C33"/>
    <w:rsid w:val="00547038"/>
    <w:rsid w:val="0055331C"/>
    <w:rsid w:val="00554B83"/>
    <w:rsid w:val="00561630"/>
    <w:rsid w:val="00563D29"/>
    <w:rsid w:val="00575A6F"/>
    <w:rsid w:val="00592DD0"/>
    <w:rsid w:val="005A0A9D"/>
    <w:rsid w:val="005A199E"/>
    <w:rsid w:val="005A56AA"/>
    <w:rsid w:val="005C1EF4"/>
    <w:rsid w:val="005C313C"/>
    <w:rsid w:val="005C76D7"/>
    <w:rsid w:val="005D370F"/>
    <w:rsid w:val="005E1462"/>
    <w:rsid w:val="005E19C6"/>
    <w:rsid w:val="005F5B3D"/>
    <w:rsid w:val="005F644B"/>
    <w:rsid w:val="00600C08"/>
    <w:rsid w:val="00604FA6"/>
    <w:rsid w:val="00606F80"/>
    <w:rsid w:val="00622CC7"/>
    <w:rsid w:val="00626DBF"/>
    <w:rsid w:val="00650571"/>
    <w:rsid w:val="00650BD6"/>
    <w:rsid w:val="006544E3"/>
    <w:rsid w:val="006648F7"/>
    <w:rsid w:val="006743B2"/>
    <w:rsid w:val="0068687D"/>
    <w:rsid w:val="006938D3"/>
    <w:rsid w:val="006A06A8"/>
    <w:rsid w:val="006A406B"/>
    <w:rsid w:val="006B6D50"/>
    <w:rsid w:val="006B711A"/>
    <w:rsid w:val="006C63A5"/>
    <w:rsid w:val="006E0575"/>
    <w:rsid w:val="006E2A1A"/>
    <w:rsid w:val="006E5CC7"/>
    <w:rsid w:val="006F3BEC"/>
    <w:rsid w:val="006F5E39"/>
    <w:rsid w:val="00700D2F"/>
    <w:rsid w:val="007055F0"/>
    <w:rsid w:val="00711A8D"/>
    <w:rsid w:val="00725838"/>
    <w:rsid w:val="0072799A"/>
    <w:rsid w:val="00732BC8"/>
    <w:rsid w:val="0073353D"/>
    <w:rsid w:val="007438BB"/>
    <w:rsid w:val="00752CF7"/>
    <w:rsid w:val="00754659"/>
    <w:rsid w:val="00772392"/>
    <w:rsid w:val="007737F4"/>
    <w:rsid w:val="0077701F"/>
    <w:rsid w:val="0077728B"/>
    <w:rsid w:val="00784E35"/>
    <w:rsid w:val="00790BDF"/>
    <w:rsid w:val="007A2C4E"/>
    <w:rsid w:val="007B5077"/>
    <w:rsid w:val="007C1FD5"/>
    <w:rsid w:val="007C4E7C"/>
    <w:rsid w:val="007D706F"/>
    <w:rsid w:val="007E3B79"/>
    <w:rsid w:val="007E5711"/>
    <w:rsid w:val="007F2869"/>
    <w:rsid w:val="007F4EE1"/>
    <w:rsid w:val="007F6856"/>
    <w:rsid w:val="007F74CA"/>
    <w:rsid w:val="008006B2"/>
    <w:rsid w:val="008066EE"/>
    <w:rsid w:val="00807BBE"/>
    <w:rsid w:val="00813855"/>
    <w:rsid w:val="00817BB6"/>
    <w:rsid w:val="00847EFA"/>
    <w:rsid w:val="008619FE"/>
    <w:rsid w:val="00865864"/>
    <w:rsid w:val="0087147C"/>
    <w:rsid w:val="008719DF"/>
    <w:rsid w:val="008732E0"/>
    <w:rsid w:val="00876005"/>
    <w:rsid w:val="00880A02"/>
    <w:rsid w:val="0088121D"/>
    <w:rsid w:val="00883754"/>
    <w:rsid w:val="008837BA"/>
    <w:rsid w:val="00884D6C"/>
    <w:rsid w:val="00894BF7"/>
    <w:rsid w:val="0089563B"/>
    <w:rsid w:val="008A075D"/>
    <w:rsid w:val="008A3218"/>
    <w:rsid w:val="008A5D57"/>
    <w:rsid w:val="008A7631"/>
    <w:rsid w:val="008B25FA"/>
    <w:rsid w:val="008B4973"/>
    <w:rsid w:val="008B5C87"/>
    <w:rsid w:val="008B7263"/>
    <w:rsid w:val="008D4E17"/>
    <w:rsid w:val="008E0E95"/>
    <w:rsid w:val="008E5244"/>
    <w:rsid w:val="008F12CC"/>
    <w:rsid w:val="008F1EBF"/>
    <w:rsid w:val="00911C47"/>
    <w:rsid w:val="009143DC"/>
    <w:rsid w:val="009164A1"/>
    <w:rsid w:val="00916708"/>
    <w:rsid w:val="00920F00"/>
    <w:rsid w:val="009223E6"/>
    <w:rsid w:val="0093017D"/>
    <w:rsid w:val="009373F6"/>
    <w:rsid w:val="00946B4D"/>
    <w:rsid w:val="009555BB"/>
    <w:rsid w:val="00965D46"/>
    <w:rsid w:val="00976588"/>
    <w:rsid w:val="0098322B"/>
    <w:rsid w:val="009849B2"/>
    <w:rsid w:val="009858AF"/>
    <w:rsid w:val="00986BC7"/>
    <w:rsid w:val="00991BB6"/>
    <w:rsid w:val="00993457"/>
    <w:rsid w:val="00997B55"/>
    <w:rsid w:val="009A2FA0"/>
    <w:rsid w:val="009A6713"/>
    <w:rsid w:val="009B6DFB"/>
    <w:rsid w:val="009C225A"/>
    <w:rsid w:val="009C4092"/>
    <w:rsid w:val="009D344A"/>
    <w:rsid w:val="009D5B99"/>
    <w:rsid w:val="009D6F95"/>
    <w:rsid w:val="009D7700"/>
    <w:rsid w:val="009E30A9"/>
    <w:rsid w:val="009F5742"/>
    <w:rsid w:val="009F752B"/>
    <w:rsid w:val="00A204F6"/>
    <w:rsid w:val="00A27CA7"/>
    <w:rsid w:val="00A37D90"/>
    <w:rsid w:val="00A55B74"/>
    <w:rsid w:val="00A71D0A"/>
    <w:rsid w:val="00A734C3"/>
    <w:rsid w:val="00A75E97"/>
    <w:rsid w:val="00A77F1E"/>
    <w:rsid w:val="00A847C4"/>
    <w:rsid w:val="00A85196"/>
    <w:rsid w:val="00A91BAF"/>
    <w:rsid w:val="00AA1A0C"/>
    <w:rsid w:val="00AA368A"/>
    <w:rsid w:val="00AB389D"/>
    <w:rsid w:val="00AC2B6C"/>
    <w:rsid w:val="00AC2FAC"/>
    <w:rsid w:val="00AC65D1"/>
    <w:rsid w:val="00AD1772"/>
    <w:rsid w:val="00AD4BD7"/>
    <w:rsid w:val="00AD4E02"/>
    <w:rsid w:val="00AE1FA6"/>
    <w:rsid w:val="00AE3332"/>
    <w:rsid w:val="00AE4780"/>
    <w:rsid w:val="00AE6BC4"/>
    <w:rsid w:val="00AF0DEA"/>
    <w:rsid w:val="00AF25E0"/>
    <w:rsid w:val="00B04290"/>
    <w:rsid w:val="00B049C1"/>
    <w:rsid w:val="00B12A8E"/>
    <w:rsid w:val="00B134E4"/>
    <w:rsid w:val="00B14543"/>
    <w:rsid w:val="00B15BE9"/>
    <w:rsid w:val="00B15E17"/>
    <w:rsid w:val="00B31546"/>
    <w:rsid w:val="00B33B2F"/>
    <w:rsid w:val="00B43E45"/>
    <w:rsid w:val="00B504A1"/>
    <w:rsid w:val="00B611A7"/>
    <w:rsid w:val="00B618C1"/>
    <w:rsid w:val="00B674DE"/>
    <w:rsid w:val="00B7071B"/>
    <w:rsid w:val="00B77066"/>
    <w:rsid w:val="00B80DEF"/>
    <w:rsid w:val="00B84B83"/>
    <w:rsid w:val="00B86BB5"/>
    <w:rsid w:val="00B91903"/>
    <w:rsid w:val="00B92454"/>
    <w:rsid w:val="00B92887"/>
    <w:rsid w:val="00B93315"/>
    <w:rsid w:val="00BA6DFE"/>
    <w:rsid w:val="00BB0ACD"/>
    <w:rsid w:val="00BB0E82"/>
    <w:rsid w:val="00BB7170"/>
    <w:rsid w:val="00BC4669"/>
    <w:rsid w:val="00BE366C"/>
    <w:rsid w:val="00BE7654"/>
    <w:rsid w:val="00BF2569"/>
    <w:rsid w:val="00BF660F"/>
    <w:rsid w:val="00C16EF1"/>
    <w:rsid w:val="00C26BC3"/>
    <w:rsid w:val="00C305EA"/>
    <w:rsid w:val="00C354F9"/>
    <w:rsid w:val="00C3718B"/>
    <w:rsid w:val="00C4437A"/>
    <w:rsid w:val="00C448D3"/>
    <w:rsid w:val="00C54B4B"/>
    <w:rsid w:val="00C61986"/>
    <w:rsid w:val="00C66B2C"/>
    <w:rsid w:val="00C87E5D"/>
    <w:rsid w:val="00C92013"/>
    <w:rsid w:val="00C934E1"/>
    <w:rsid w:val="00CA6BA1"/>
    <w:rsid w:val="00CA78AA"/>
    <w:rsid w:val="00CB63FF"/>
    <w:rsid w:val="00CC1E38"/>
    <w:rsid w:val="00CC5C25"/>
    <w:rsid w:val="00CD229F"/>
    <w:rsid w:val="00CE0834"/>
    <w:rsid w:val="00CE4E16"/>
    <w:rsid w:val="00CF26B0"/>
    <w:rsid w:val="00CF437E"/>
    <w:rsid w:val="00CF4600"/>
    <w:rsid w:val="00CF62E5"/>
    <w:rsid w:val="00CF74C8"/>
    <w:rsid w:val="00D04F4B"/>
    <w:rsid w:val="00D3628E"/>
    <w:rsid w:val="00D40514"/>
    <w:rsid w:val="00D435CA"/>
    <w:rsid w:val="00D55134"/>
    <w:rsid w:val="00D60CE2"/>
    <w:rsid w:val="00D66D3A"/>
    <w:rsid w:val="00D743D4"/>
    <w:rsid w:val="00D825B5"/>
    <w:rsid w:val="00D85D39"/>
    <w:rsid w:val="00D91063"/>
    <w:rsid w:val="00D941B8"/>
    <w:rsid w:val="00D95A1A"/>
    <w:rsid w:val="00D961DB"/>
    <w:rsid w:val="00DA2F34"/>
    <w:rsid w:val="00DB3D6C"/>
    <w:rsid w:val="00DB6405"/>
    <w:rsid w:val="00DC1DF5"/>
    <w:rsid w:val="00DC284E"/>
    <w:rsid w:val="00DC6E7B"/>
    <w:rsid w:val="00DC771A"/>
    <w:rsid w:val="00DE175E"/>
    <w:rsid w:val="00DE362D"/>
    <w:rsid w:val="00DE6217"/>
    <w:rsid w:val="00DF089E"/>
    <w:rsid w:val="00DF1E81"/>
    <w:rsid w:val="00DF56CC"/>
    <w:rsid w:val="00E001A8"/>
    <w:rsid w:val="00E014B6"/>
    <w:rsid w:val="00E03FFF"/>
    <w:rsid w:val="00E054C1"/>
    <w:rsid w:val="00E1162F"/>
    <w:rsid w:val="00E11D5F"/>
    <w:rsid w:val="00E20E1F"/>
    <w:rsid w:val="00E42F96"/>
    <w:rsid w:val="00E46C29"/>
    <w:rsid w:val="00E50BD2"/>
    <w:rsid w:val="00E6325A"/>
    <w:rsid w:val="00E65234"/>
    <w:rsid w:val="00E7118F"/>
    <w:rsid w:val="00E7611E"/>
    <w:rsid w:val="00E803E0"/>
    <w:rsid w:val="00E81D69"/>
    <w:rsid w:val="00E84C59"/>
    <w:rsid w:val="00E86513"/>
    <w:rsid w:val="00E93B19"/>
    <w:rsid w:val="00EA061D"/>
    <w:rsid w:val="00EA3502"/>
    <w:rsid w:val="00EA72FE"/>
    <w:rsid w:val="00EB1BFD"/>
    <w:rsid w:val="00ED1424"/>
    <w:rsid w:val="00EE210D"/>
    <w:rsid w:val="00EE3999"/>
    <w:rsid w:val="00F12B16"/>
    <w:rsid w:val="00F173BB"/>
    <w:rsid w:val="00F2190E"/>
    <w:rsid w:val="00F232E6"/>
    <w:rsid w:val="00F265D0"/>
    <w:rsid w:val="00F27657"/>
    <w:rsid w:val="00F30B55"/>
    <w:rsid w:val="00F342DC"/>
    <w:rsid w:val="00F53BE6"/>
    <w:rsid w:val="00F56F93"/>
    <w:rsid w:val="00F63041"/>
    <w:rsid w:val="00F641A1"/>
    <w:rsid w:val="00F7199F"/>
    <w:rsid w:val="00F76452"/>
    <w:rsid w:val="00FB6314"/>
    <w:rsid w:val="00FB6B0E"/>
    <w:rsid w:val="00FC64D5"/>
    <w:rsid w:val="00FD6106"/>
    <w:rsid w:val="00FD6B46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8324F"/>
  <w15:docId w15:val="{24501377-318E-423A-86D6-A9FED24B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C87"/>
    <w:pPr>
      <w:ind w:left="0" w:firstLine="0"/>
    </w:p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link w:val="FuzeileZchn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CC5C25"/>
    <w:pPr>
      <w:ind w:left="720"/>
      <w:contextualSpacing/>
    </w:pPr>
  </w:style>
  <w:style w:type="table" w:styleId="Tabellenraster">
    <w:name w:val="Table Grid"/>
    <w:basedOn w:val="NormaleTabelle"/>
    <w:rsid w:val="006648F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DF089E"/>
    <w:pPr>
      <w:spacing w:before="0" w:after="0"/>
      <w:ind w:left="0" w:firstLine="0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6A0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609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2838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4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095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839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137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8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9280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336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EA376-D687-4F17-B28A-43807C2F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C2C38871.dotm</Template>
  <TotalTime>0</TotalTime>
  <Pages>2</Pages>
  <Words>494</Words>
  <Characters>3491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Hasenack, Simone</dc:creator>
  <cp:lastModifiedBy>Hauser, Petra</cp:lastModifiedBy>
  <cp:revision>7</cp:revision>
  <cp:lastPrinted>2019-09-27T16:30:00Z</cp:lastPrinted>
  <dcterms:created xsi:type="dcterms:W3CDTF">2019-09-24T12:06:00Z</dcterms:created>
  <dcterms:modified xsi:type="dcterms:W3CDTF">2019-09-27T16:38:00Z</dcterms:modified>
</cp:coreProperties>
</file>