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167CF0">
        <w:t>10</w:t>
      </w:r>
      <w:r w:rsidRPr="006E0575">
        <w:t xml:space="preserve"> zur </w:t>
      </w:r>
      <w:proofErr w:type="spellStart"/>
      <w:r w:rsidRPr="006E0575">
        <w:t>GRDrs</w:t>
      </w:r>
      <w:proofErr w:type="spellEnd"/>
      <w:r w:rsidRPr="006E0575">
        <w:t xml:space="preserve"> </w:t>
      </w:r>
      <w:r w:rsidR="00906316">
        <w:t>890</w:t>
      </w:r>
      <w:r w:rsidR="005F5B3D">
        <w:t>/201</w:t>
      </w:r>
      <w:r w:rsidR="00AF25E0">
        <w:t>9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9D5BFD">
        <w:rPr>
          <w:b/>
          <w:sz w:val="36"/>
          <w:szCs w:val="36"/>
          <w:u w:val="single"/>
        </w:rPr>
        <w:t>0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bezeichnung</w:t>
            </w:r>
            <w:proofErr w:type="spellEnd"/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proofErr w:type="spellEnd"/>
            <w:r w:rsidRPr="006E05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jährl</w:t>
            </w:r>
            <w:proofErr w:type="spellEnd"/>
            <w:r w:rsidRPr="006E0575">
              <w:rPr>
                <w:sz w:val="16"/>
                <w:szCs w:val="16"/>
              </w:rPr>
              <w:t>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DE362D">
        <w:tc>
          <w:tcPr>
            <w:tcW w:w="181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7525D4" w:rsidRDefault="007525D4" w:rsidP="007525D4">
            <w:pPr>
              <w:rPr>
                <w:sz w:val="20"/>
              </w:rPr>
            </w:pPr>
            <w:r>
              <w:rPr>
                <w:sz w:val="20"/>
              </w:rPr>
              <w:t>660 0432</w:t>
            </w:r>
          </w:p>
          <w:p w:rsidR="007525D4" w:rsidRDefault="007525D4" w:rsidP="007525D4">
            <w:pPr>
              <w:rPr>
                <w:sz w:val="20"/>
              </w:rPr>
            </w:pPr>
          </w:p>
          <w:p w:rsidR="005F5B3D" w:rsidRPr="006E0575" w:rsidRDefault="007525D4" w:rsidP="007525D4">
            <w:pPr>
              <w:rPr>
                <w:sz w:val="20"/>
              </w:rPr>
            </w:pPr>
            <w:r w:rsidRPr="00544B84">
              <w:rPr>
                <w:sz w:val="20"/>
              </w:rPr>
              <w:t>66046320</w:t>
            </w: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9D5BFD" w:rsidP="0030686C">
            <w:pPr>
              <w:rPr>
                <w:sz w:val="20"/>
              </w:rPr>
            </w:pPr>
            <w:r>
              <w:rPr>
                <w:sz w:val="20"/>
              </w:rPr>
              <w:t>Tiefbauamt</w:t>
            </w:r>
          </w:p>
        </w:tc>
        <w:tc>
          <w:tcPr>
            <w:tcW w:w="79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9D5BFD" w:rsidP="0030686C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 w:rsidR="007525D4">
              <w:rPr>
                <w:sz w:val="20"/>
              </w:rPr>
              <w:t>a</w:t>
            </w:r>
          </w:p>
        </w:tc>
        <w:tc>
          <w:tcPr>
            <w:tcW w:w="192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7525D4" w:rsidRPr="006E0575" w:rsidRDefault="007525D4" w:rsidP="0030686C">
            <w:pPr>
              <w:rPr>
                <w:sz w:val="20"/>
              </w:rPr>
            </w:pPr>
            <w:r>
              <w:rPr>
                <w:sz w:val="20"/>
              </w:rPr>
              <w:t>Elektriker</w:t>
            </w:r>
            <w:r w:rsidR="00906316">
              <w:rPr>
                <w:sz w:val="20"/>
              </w:rPr>
              <w:t>/-in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3704B6" w:rsidP="0030686C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0235F7">
              <w:rPr>
                <w:sz w:val="20"/>
              </w:rPr>
              <w:t>,0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7525D4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167CF0">
              <w:rPr>
                <w:sz w:val="20"/>
              </w:rPr>
              <w:t>-</w:t>
            </w:r>
          </w:p>
          <w:p w:rsidR="007525D4" w:rsidRPr="006E0575" w:rsidRDefault="007525D4" w:rsidP="0030686C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167CF0" w:rsidRPr="006E0575" w:rsidRDefault="00167CF0" w:rsidP="00167CF0">
            <w:pPr>
              <w:jc w:val="right"/>
              <w:rPr>
                <w:sz w:val="20"/>
              </w:rPr>
            </w:pPr>
            <w:r>
              <w:rPr>
                <w:sz w:val="20"/>
              </w:rPr>
              <w:t>59.500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3D7B0B" w:rsidRDefault="007525D4" w:rsidP="00884D6C">
      <w:r>
        <w:t>Beantrag</w:t>
      </w:r>
      <w:r w:rsidR="00C453DB">
        <w:t>t</w:t>
      </w:r>
      <w:r>
        <w:t xml:space="preserve"> wird eine Stelle für einen Elektriker (m/w/d) </w:t>
      </w:r>
      <w:r w:rsidR="008E5AE8">
        <w:t xml:space="preserve">in EG 9a TVöD </w:t>
      </w:r>
      <w:r>
        <w:t xml:space="preserve">beim Tiefbauamt für den ordnungsgemäßen Betrieb der Straßentunnel. 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906316" w:rsidRDefault="00906316" w:rsidP="00906316"/>
    <w:p w:rsidR="00906316" w:rsidRPr="00906316" w:rsidRDefault="00906316" w:rsidP="00906316">
      <w:r>
        <w:t>Beim Betrieb der Straßentunnel ist eine erhebliche Arbeitsvermehrung zu verzeichnen.</w:t>
      </w:r>
    </w:p>
    <w:p w:rsidR="003D7B0B" w:rsidRDefault="003D7B0B" w:rsidP="00884D6C"/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Pr="00884D6C" w:rsidRDefault="003D7B0B" w:rsidP="00884D6C"/>
    <w:p w:rsidR="009D5BFD" w:rsidRDefault="004F3E3E" w:rsidP="009D5BFD">
      <w:r>
        <w:t xml:space="preserve">Durch den Neubau und die Erweiterung bestehender Straßentunnel </w:t>
      </w:r>
      <w:r w:rsidR="00EE2E2A">
        <w:t xml:space="preserve">mit der erforderlichen Betriebstechnik </w:t>
      </w:r>
      <w:r>
        <w:t>nimmt der Umfang der Betriebs- und Wartungsaufgaben für diese Anlagen deutlich zu.</w:t>
      </w:r>
    </w:p>
    <w:p w:rsidR="007525D4" w:rsidRDefault="007525D4" w:rsidP="009D5BFD"/>
    <w:p w:rsidR="007525D4" w:rsidRPr="006E0575" w:rsidRDefault="007525D4" w:rsidP="009D5BFD">
      <w:r>
        <w:t>Das Tiefbauamt ist für den Betrieb von 12 Straßentunnel</w:t>
      </w:r>
      <w:r w:rsidR="00906316">
        <w:t>n</w:t>
      </w:r>
      <w:r>
        <w:t xml:space="preserve"> mit </w:t>
      </w:r>
      <w:r w:rsidR="00783B11">
        <w:t>einer Länge der Tunnelröhren</w:t>
      </w:r>
      <w:r>
        <w:t xml:space="preserve"> von ca. 10.233 m zuständig. Mit Inbetriebnahme des Rosensteintunnels und der Verbindung B10/B14 am Leuze nimm</w:t>
      </w:r>
      <w:r w:rsidR="00783B11">
        <w:t>t die Länge der Tunnelröhren</w:t>
      </w:r>
      <w:r>
        <w:t xml:space="preserve"> um </w:t>
      </w:r>
      <w:r w:rsidR="00FE2084">
        <w:t xml:space="preserve">rund </w:t>
      </w:r>
      <w:r>
        <w:t xml:space="preserve">2.560 m und damit um ca. 25 % zu. Der Umfang der Tunnelbetriebstechnik erweitert sich durch die Betriebstechnik der neuen Tunnel </w:t>
      </w:r>
      <w:r w:rsidR="00FE2084">
        <w:t xml:space="preserve">sowie </w:t>
      </w:r>
      <w:r>
        <w:t>durch die Anpassung der beiden Leuze</w:t>
      </w:r>
      <w:r w:rsidR="00167CF0">
        <w:t>-</w:t>
      </w:r>
      <w:r>
        <w:t xml:space="preserve">röhren und des Schwanenplatztunnels an die gültigen Vorschriften. Für </w:t>
      </w:r>
      <w:r w:rsidR="00FE2084">
        <w:t>die Sicherheit</w:t>
      </w:r>
      <w:r>
        <w:t xml:space="preserve"> der Straßentunnel </w:t>
      </w:r>
      <w:r w:rsidR="00FE2084">
        <w:t>sind</w:t>
      </w:r>
      <w:r>
        <w:t xml:space="preserve"> die Wartung und der Betrieb der betriebstechnischen Anlagen und der Sicherheitstechnik </w:t>
      </w:r>
      <w:r w:rsidR="00906316">
        <w:t>grundlegend</w:t>
      </w:r>
      <w:r>
        <w:t>. Diese Aufgaben beinhalten die technische Betreuung der Anlagen, die Betreuung und Überwachung von externen Dienstleistern und die Ausführung von Wartungs- und Instandhaltungsarbeiten in den regelmäßigen Wa</w:t>
      </w:r>
      <w:r w:rsidR="00906316">
        <w:t xml:space="preserve">rtungssperrungen (Nachtarbeit). Um diese </w:t>
      </w:r>
      <w:r>
        <w:t xml:space="preserve">Aufgaben </w:t>
      </w:r>
      <w:r w:rsidR="00906316">
        <w:t xml:space="preserve">abdecken zu können </w:t>
      </w:r>
      <w:r>
        <w:t xml:space="preserve">ist </w:t>
      </w:r>
      <w:r w:rsidR="00906316">
        <w:t>eine zusätzliche Elektrikerstelle erforderlich.</w:t>
      </w:r>
    </w:p>
    <w:p w:rsidR="006E0575" w:rsidRPr="006E0575" w:rsidRDefault="006E0575" w:rsidP="00884D6C"/>
    <w:p w:rsidR="003D7B0B" w:rsidRPr="00165C0D" w:rsidRDefault="003D7B0B" w:rsidP="00165C0D">
      <w:pPr>
        <w:pStyle w:val="berschrift2"/>
      </w:pPr>
      <w:r w:rsidRPr="00165C0D">
        <w:lastRenderedPageBreak/>
        <w:t>3.2</w:t>
      </w:r>
      <w:r w:rsidRPr="00165C0D">
        <w:tab/>
        <w:t>Bisherige Aufgabenwahrnehmung</w:t>
      </w:r>
    </w:p>
    <w:p w:rsidR="003D7B0B" w:rsidRDefault="003D7B0B" w:rsidP="00884D6C"/>
    <w:p w:rsidR="003D7B0B" w:rsidRDefault="007525D4" w:rsidP="00884D6C">
      <w:r>
        <w:t xml:space="preserve">Die </w:t>
      </w:r>
      <w:r w:rsidR="00906316">
        <w:t>mit den zusätzlichen Tunnelstrecken</w:t>
      </w:r>
      <w:r>
        <w:t xml:space="preserve"> entstehenden Aufgaben können mit dem vorhandenen Personal nicht abgedeckt werden. </w:t>
      </w:r>
    </w:p>
    <w:p w:rsidR="007525D4" w:rsidRDefault="007525D4" w:rsidP="00884D6C"/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9D5BFD" w:rsidRDefault="009D5BFD" w:rsidP="009D5BFD">
      <w:r>
        <w:t xml:space="preserve">Bei einer Ablehnung </w:t>
      </w:r>
      <w:r w:rsidR="00C453DB">
        <w:t>sind</w:t>
      </w:r>
      <w:r>
        <w:t xml:space="preserve"> </w:t>
      </w:r>
      <w:r w:rsidR="004F3E3E">
        <w:t>der Betrieb und die Wartung</w:t>
      </w:r>
      <w:r>
        <w:t xml:space="preserve"> der </w:t>
      </w:r>
      <w:r w:rsidR="00783B11">
        <w:t xml:space="preserve">neuen </w:t>
      </w:r>
      <w:r>
        <w:t xml:space="preserve">Straßentunnel </w:t>
      </w:r>
      <w:r w:rsidR="004F3E3E">
        <w:t xml:space="preserve">nicht </w:t>
      </w:r>
      <w:r>
        <w:t>möglich</w:t>
      </w:r>
      <w:r w:rsidR="00906316">
        <w:t>, womit u. a. ein Sicherheitsrisiko verbunden ist</w:t>
      </w:r>
      <w:r>
        <w:t>.</w:t>
      </w:r>
    </w:p>
    <w:p w:rsidR="003D7B0B" w:rsidRDefault="003D7B0B" w:rsidP="00884D6C"/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DE362D" w:rsidRDefault="00167CF0" w:rsidP="00884D6C">
      <w:r>
        <w:t>keine</w:t>
      </w:r>
      <w:bookmarkStart w:id="0" w:name="_GoBack"/>
      <w:bookmarkEnd w:id="0"/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BFD" w:rsidRDefault="009D5BFD">
      <w:r>
        <w:separator/>
      </w:r>
    </w:p>
  </w:endnote>
  <w:endnote w:type="continuationSeparator" w:id="0">
    <w:p w:rsidR="009D5BFD" w:rsidRDefault="009D5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BFD" w:rsidRDefault="009D5BFD">
      <w:r>
        <w:separator/>
      </w:r>
    </w:p>
  </w:footnote>
  <w:footnote w:type="continuationSeparator" w:id="0">
    <w:p w:rsidR="009D5BFD" w:rsidRDefault="009D5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167CF0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BFD"/>
    <w:rsid w:val="000235F7"/>
    <w:rsid w:val="00055758"/>
    <w:rsid w:val="000A1146"/>
    <w:rsid w:val="001034AF"/>
    <w:rsid w:val="0011112B"/>
    <w:rsid w:val="0014415D"/>
    <w:rsid w:val="00151488"/>
    <w:rsid w:val="00163034"/>
    <w:rsid w:val="00164678"/>
    <w:rsid w:val="00165C0D"/>
    <w:rsid w:val="00167CF0"/>
    <w:rsid w:val="00181857"/>
    <w:rsid w:val="00184EDC"/>
    <w:rsid w:val="00194770"/>
    <w:rsid w:val="001A5F9B"/>
    <w:rsid w:val="001F7237"/>
    <w:rsid w:val="002924CB"/>
    <w:rsid w:val="002A20D1"/>
    <w:rsid w:val="002A4DE3"/>
    <w:rsid w:val="002B5955"/>
    <w:rsid w:val="002D0D13"/>
    <w:rsid w:val="0030686C"/>
    <w:rsid w:val="003704B6"/>
    <w:rsid w:val="00380937"/>
    <w:rsid w:val="00397717"/>
    <w:rsid w:val="003D7B0B"/>
    <w:rsid w:val="003F0FAA"/>
    <w:rsid w:val="00470135"/>
    <w:rsid w:val="0047606A"/>
    <w:rsid w:val="004908B5"/>
    <w:rsid w:val="0049121B"/>
    <w:rsid w:val="004A1688"/>
    <w:rsid w:val="004B6796"/>
    <w:rsid w:val="004F3E3E"/>
    <w:rsid w:val="00583231"/>
    <w:rsid w:val="005A0A9D"/>
    <w:rsid w:val="005A56AA"/>
    <w:rsid w:val="005E19C6"/>
    <w:rsid w:val="005F5B3D"/>
    <w:rsid w:val="00606F80"/>
    <w:rsid w:val="00622CC7"/>
    <w:rsid w:val="006A406B"/>
    <w:rsid w:val="006B6D50"/>
    <w:rsid w:val="006E0575"/>
    <w:rsid w:val="0072799A"/>
    <w:rsid w:val="007525D4"/>
    <w:rsid w:val="00754659"/>
    <w:rsid w:val="00783B11"/>
    <w:rsid w:val="007E3B79"/>
    <w:rsid w:val="008066EE"/>
    <w:rsid w:val="00817BB6"/>
    <w:rsid w:val="00831051"/>
    <w:rsid w:val="00884D6C"/>
    <w:rsid w:val="008E5AE8"/>
    <w:rsid w:val="00906316"/>
    <w:rsid w:val="00920F00"/>
    <w:rsid w:val="009373F6"/>
    <w:rsid w:val="00976588"/>
    <w:rsid w:val="009D5BFD"/>
    <w:rsid w:val="00A27CA7"/>
    <w:rsid w:val="00A71D0A"/>
    <w:rsid w:val="00A77F1E"/>
    <w:rsid w:val="00A847C4"/>
    <w:rsid w:val="00AB389D"/>
    <w:rsid w:val="00AF0DEA"/>
    <w:rsid w:val="00AF25E0"/>
    <w:rsid w:val="00B04290"/>
    <w:rsid w:val="00B6131A"/>
    <w:rsid w:val="00B80DEF"/>
    <w:rsid w:val="00B86BB5"/>
    <w:rsid w:val="00B91903"/>
    <w:rsid w:val="00BA4A4F"/>
    <w:rsid w:val="00BC4669"/>
    <w:rsid w:val="00C16EF1"/>
    <w:rsid w:val="00C448D3"/>
    <w:rsid w:val="00C453DB"/>
    <w:rsid w:val="00CF62E5"/>
    <w:rsid w:val="00D15094"/>
    <w:rsid w:val="00D66D3A"/>
    <w:rsid w:val="00D743D4"/>
    <w:rsid w:val="00DB3D6C"/>
    <w:rsid w:val="00DE362D"/>
    <w:rsid w:val="00E014B6"/>
    <w:rsid w:val="00E1162F"/>
    <w:rsid w:val="00E11D5F"/>
    <w:rsid w:val="00E20E1F"/>
    <w:rsid w:val="00E42F96"/>
    <w:rsid w:val="00E7118F"/>
    <w:rsid w:val="00EE2E2A"/>
    <w:rsid w:val="00F27657"/>
    <w:rsid w:val="00F342DC"/>
    <w:rsid w:val="00F56F93"/>
    <w:rsid w:val="00F63041"/>
    <w:rsid w:val="00F76452"/>
    <w:rsid w:val="00FD6B46"/>
    <w:rsid w:val="00FE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87FBB9"/>
  <w15:docId w15:val="{8D9A583C-2FC8-4976-8BB6-84A6FFA8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EE90B5C.dotm</Template>
  <TotalTime>0</TotalTime>
  <Pages>2</Pages>
  <Words>289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2020/2021</dc:subject>
  <dc:creator>u664013</dc:creator>
  <cp:lastModifiedBy>Hauser, Petra</cp:lastModifiedBy>
  <cp:revision>6</cp:revision>
  <cp:lastPrinted>2019-09-25T17:34:00Z</cp:lastPrinted>
  <dcterms:created xsi:type="dcterms:W3CDTF">2019-09-13T17:02:00Z</dcterms:created>
  <dcterms:modified xsi:type="dcterms:W3CDTF">2019-09-25T17:35:00Z</dcterms:modified>
</cp:coreProperties>
</file>