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E5220">
        <w:rPr>
          <w:szCs w:val="24"/>
        </w:rPr>
        <w:t>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3E5220">
        <w:rPr>
          <w:szCs w:val="24"/>
        </w:rPr>
        <w:t>821</w:t>
      </w:r>
      <w:r w:rsidR="005F5B3D">
        <w:rPr>
          <w:szCs w:val="24"/>
        </w:rPr>
        <w:t>/201</w:t>
      </w:r>
      <w:r w:rsidR="009D6948">
        <w:rPr>
          <w:szCs w:val="24"/>
        </w:rPr>
        <w:t>6</w:t>
      </w:r>
    </w:p>
    <w:p w:rsidR="003D7B0B" w:rsidRPr="006E0575" w:rsidRDefault="003D7B0B" w:rsidP="006E0575"/>
    <w:p w:rsidR="003D7B0B" w:rsidRPr="006E0575" w:rsidRDefault="003D7B0B" w:rsidP="006E0575"/>
    <w:p w:rsidR="000A206D" w:rsidRDefault="000A206D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0A206D" w:rsidRDefault="000A206D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84EDC" w:rsidRDefault="004B7D18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Stellenschaffungen</w:t>
      </w:r>
    </w:p>
    <w:p w:rsidR="003D7B0B" w:rsidRDefault="00BB405A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</w:t>
      </w:r>
      <w:r w:rsidR="00666A48">
        <w:rPr>
          <w:b/>
          <w:sz w:val="36"/>
          <w:u w:val="single"/>
        </w:rPr>
        <w:t>auf den</w:t>
      </w:r>
      <w:r w:rsidR="00184EDC" w:rsidRPr="00351C7E">
        <w:rPr>
          <w:b/>
          <w:sz w:val="36"/>
          <w:u w:val="single"/>
        </w:rPr>
        <w:t xml:space="preserve"> Stellenplan 20</w:t>
      </w:r>
      <w:r w:rsidR="00F60C42" w:rsidRPr="00351C7E">
        <w:rPr>
          <w:b/>
          <w:sz w:val="36"/>
          <w:u w:val="single"/>
        </w:rPr>
        <w:t>1</w:t>
      </w:r>
      <w:r w:rsidR="009D6948">
        <w:rPr>
          <w:b/>
          <w:sz w:val="36"/>
          <w:u w:val="single"/>
        </w:rPr>
        <w:t>8</w:t>
      </w:r>
    </w:p>
    <w:p w:rsidR="00351C7E" w:rsidRPr="00351C7E" w:rsidRDefault="00351C7E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0A206D" w:rsidRDefault="000A206D" w:rsidP="006E0575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45"/>
        <w:gridCol w:w="1870"/>
        <w:gridCol w:w="794"/>
        <w:gridCol w:w="1872"/>
        <w:gridCol w:w="992"/>
        <w:gridCol w:w="992"/>
        <w:gridCol w:w="1502"/>
      </w:tblGrid>
      <w:tr w:rsidR="00D41B2F" w:rsidRPr="006E0575" w:rsidTr="001B7175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D41B2F" w:rsidRPr="006E0575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D41B2F" w:rsidRPr="006E0575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D41B2F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1B2F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D41B2F" w:rsidRPr="006E0575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D41B2F" w:rsidRPr="006E0575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D41B2F" w:rsidRPr="006E0575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D41B2F" w:rsidRPr="006E0575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D41B2F" w:rsidRPr="006E0575" w:rsidRDefault="00D41B2F" w:rsidP="001B7175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1B7175">
        <w:tc>
          <w:tcPr>
            <w:tcW w:w="1645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8C0923" w:rsidRPr="00BF3232" w:rsidRDefault="001B7175" w:rsidP="006E0575">
            <w:pPr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S/OB-Mobil</w:t>
            </w:r>
          </w:p>
          <w:p w:rsidR="0011112B" w:rsidRDefault="00F9436B" w:rsidP="006E0575">
            <w:pPr>
              <w:rPr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>80025</w:t>
            </w:r>
            <w:r w:rsidR="001B7175">
              <w:rPr>
                <w:rFonts w:ascii="Helv" w:hAnsi="Helv" w:cs="Helv"/>
                <w:color w:val="000000"/>
                <w:sz w:val="20"/>
              </w:rPr>
              <w:t>000</w:t>
            </w:r>
          </w:p>
          <w:p w:rsidR="005F5B3D" w:rsidRPr="006E0575" w:rsidRDefault="005F5B3D" w:rsidP="003A663C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EC2050" w:rsidRDefault="00EC2050" w:rsidP="006E0575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5F5B3D" w:rsidRDefault="001B7175" w:rsidP="006E0575">
            <w:pPr>
              <w:rPr>
                <w:sz w:val="20"/>
              </w:rPr>
            </w:pPr>
            <w:r>
              <w:rPr>
                <w:sz w:val="20"/>
              </w:rPr>
              <w:t>S/OB-Mobil</w:t>
            </w:r>
          </w:p>
          <w:p w:rsidR="00EC2050" w:rsidRDefault="00EC2050" w:rsidP="006E0575">
            <w:pPr>
              <w:rPr>
                <w:sz w:val="20"/>
              </w:rPr>
            </w:pPr>
            <w:r>
              <w:rPr>
                <w:sz w:val="20"/>
              </w:rPr>
              <w:t>Abteilung</w:t>
            </w:r>
          </w:p>
          <w:p w:rsidR="009D6948" w:rsidRPr="006E0575" w:rsidRDefault="001B7175" w:rsidP="006E0575">
            <w:pPr>
              <w:rPr>
                <w:sz w:val="20"/>
              </w:rPr>
            </w:pPr>
            <w:r>
              <w:rPr>
                <w:sz w:val="20"/>
              </w:rPr>
              <w:t>Mobilität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9D6948" w:rsidRPr="006E0575" w:rsidRDefault="001B7175" w:rsidP="009D69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9F54C6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872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1B7175" w:rsidP="001B7175">
            <w:pPr>
              <w:rPr>
                <w:sz w:val="20"/>
              </w:rPr>
            </w:pPr>
            <w:r>
              <w:rPr>
                <w:sz w:val="20"/>
              </w:rPr>
              <w:t>Sachbearb</w:t>
            </w:r>
            <w:r w:rsidR="003B5E45">
              <w:rPr>
                <w:sz w:val="20"/>
              </w:rPr>
              <w:t>eiter</w:t>
            </w:r>
            <w:r w:rsidR="004B7D18">
              <w:rPr>
                <w:sz w:val="20"/>
              </w:rPr>
              <w:t>/in</w:t>
            </w:r>
          </w:p>
        </w:tc>
        <w:tc>
          <w:tcPr>
            <w:tcW w:w="992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9D6948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9D6948" w:rsidRPr="006E0575" w:rsidRDefault="009D6948" w:rsidP="001F723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F5B3D" w:rsidRPr="00666A48" w:rsidRDefault="005F5B3D" w:rsidP="001F7237">
            <w:pPr>
              <w:jc w:val="center"/>
              <w:rPr>
                <w:sz w:val="20"/>
              </w:rPr>
            </w:pPr>
          </w:p>
          <w:p w:rsidR="009D6948" w:rsidRPr="00666A48" w:rsidRDefault="001B7175" w:rsidP="003A6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01/2021</w:t>
            </w:r>
          </w:p>
        </w:tc>
        <w:tc>
          <w:tcPr>
            <w:tcW w:w="1502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EC2050" w:rsidRPr="006E0575" w:rsidRDefault="003E522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88.300</w:t>
            </w:r>
          </w:p>
        </w:tc>
      </w:tr>
    </w:tbl>
    <w:p w:rsidR="004B7D18" w:rsidRDefault="004B7D18" w:rsidP="004B7D18">
      <w:pPr>
        <w:pStyle w:val="berschrift1"/>
        <w:jc w:val="both"/>
        <w:rPr>
          <w:u w:val="none"/>
        </w:rPr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4B7D18" w:rsidRDefault="004B7D18" w:rsidP="004B7D18"/>
    <w:p w:rsidR="004B7D18" w:rsidRDefault="004B7D18" w:rsidP="004B7D18">
      <w:r>
        <w:t xml:space="preserve">Beantragt wird die Schaffung </w:t>
      </w:r>
      <w:r w:rsidR="001B7175">
        <w:t xml:space="preserve">einer 1,00 Stelle </w:t>
      </w:r>
      <w:r w:rsidR="002600E2">
        <w:t xml:space="preserve">(Sachbearbeitung in Bes. </w:t>
      </w:r>
      <w:proofErr w:type="spellStart"/>
      <w:r w:rsidR="002600E2">
        <w:t>Gr</w:t>
      </w:r>
      <w:proofErr w:type="spellEnd"/>
      <w:r w:rsidR="002600E2">
        <w:t>. A 11)</w:t>
      </w:r>
      <w:r w:rsidR="001B7175">
        <w:t xml:space="preserve"> für die gesamtstädtische Koordination und Steuerung sowie Wissensmanagement in B</w:t>
      </w:r>
      <w:r w:rsidR="001B7175">
        <w:t>e</w:t>
      </w:r>
      <w:r w:rsidR="001B7175">
        <w:t>zug auf die Aktivitäten zur Luftreinhaltung, vor allem des Feinstaubalarms,</w:t>
      </w:r>
      <w:r w:rsidR="002600E2">
        <w:t xml:space="preserve"> entspr</w:t>
      </w:r>
      <w:r w:rsidR="002600E2">
        <w:t>e</w:t>
      </w:r>
      <w:r w:rsidR="002600E2">
        <w:t xml:space="preserve">chend der </w:t>
      </w:r>
      <w:proofErr w:type="spellStart"/>
      <w:r w:rsidR="002600E2">
        <w:t>GRDrs</w:t>
      </w:r>
      <w:proofErr w:type="spellEnd"/>
      <w:r w:rsidR="002600E2">
        <w:t xml:space="preserve"> 808/2016.</w:t>
      </w:r>
    </w:p>
    <w:p w:rsidR="004B7D18" w:rsidRDefault="004B7D18" w:rsidP="004B7D18">
      <w:pPr>
        <w:pStyle w:val="berschrift1"/>
        <w:jc w:val="both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D6948" w:rsidRDefault="009D6948" w:rsidP="009D6948"/>
    <w:p w:rsidR="002600E2" w:rsidRDefault="002600E2" w:rsidP="00E227E9">
      <w:r>
        <w:t>Der erweiterten Aufgabenwahrnehmung der Abteilung Mobilität im Referat Strategische Planung und Nachhaltige Mobilität im Bereich der Themenfelder Luftreinhaltung im Al</w:t>
      </w:r>
      <w:r>
        <w:t>l</w:t>
      </w:r>
      <w:r>
        <w:t xml:space="preserve">gemeinen sowie Feinstaubalarm im Besonderen wurde mit </w:t>
      </w:r>
      <w:proofErr w:type="spellStart"/>
      <w:r w:rsidR="009D6948">
        <w:t>GRDrs</w:t>
      </w:r>
      <w:proofErr w:type="spellEnd"/>
      <w:r w:rsidR="009D6948">
        <w:t xml:space="preserve"> </w:t>
      </w:r>
      <w:r>
        <w:t>808</w:t>
      </w:r>
      <w:r w:rsidR="009D6948">
        <w:t xml:space="preserve">/2016 </w:t>
      </w:r>
      <w:r w:rsidR="00291BCB">
        <w:t>zugestimmt</w:t>
      </w:r>
      <w:r w:rsidR="003E5220">
        <w:t>.</w:t>
      </w:r>
    </w:p>
    <w:p w:rsidR="002600E2" w:rsidRDefault="002600E2" w:rsidP="00E227E9"/>
    <w:p w:rsidR="00512807" w:rsidRPr="00512807" w:rsidRDefault="00512807" w:rsidP="0051280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3  </w:t>
      </w:r>
      <w:r w:rsidRPr="00512807">
        <w:rPr>
          <w:b/>
          <w:szCs w:val="24"/>
          <w:u w:val="single"/>
        </w:rPr>
        <w:t>Bedarf</w:t>
      </w:r>
    </w:p>
    <w:p w:rsidR="00512807" w:rsidRDefault="00512807" w:rsidP="00512807">
      <w:pPr>
        <w:pStyle w:val="berschrift2"/>
        <w:jc w:val="both"/>
      </w:pPr>
      <w:r w:rsidRPr="00884D6C">
        <w:t>3.1</w:t>
      </w:r>
      <w:r w:rsidRPr="00884D6C">
        <w:tab/>
        <w:t>Anlass</w:t>
      </w:r>
    </w:p>
    <w:p w:rsidR="002600E2" w:rsidRDefault="002600E2" w:rsidP="00E227E9">
      <w:pPr>
        <w:rPr>
          <w:szCs w:val="24"/>
        </w:rPr>
      </w:pPr>
    </w:p>
    <w:p w:rsidR="00E227E9" w:rsidRDefault="002600E2" w:rsidP="009F54C6">
      <w:pPr>
        <w:spacing w:before="120" w:after="120" w:line="276" w:lineRule="auto"/>
        <w:rPr>
          <w:szCs w:val="24"/>
        </w:rPr>
      </w:pPr>
      <w:r>
        <w:rPr>
          <w:rFonts w:cs="Arial"/>
          <w:color w:val="000000"/>
          <w:szCs w:val="24"/>
        </w:rPr>
        <w:t xml:space="preserve">Für die Erfüllung </w:t>
      </w:r>
      <w:r w:rsidR="009F54C6">
        <w:rPr>
          <w:rFonts w:cs="Arial"/>
          <w:color w:val="000000"/>
          <w:szCs w:val="24"/>
        </w:rPr>
        <w:t xml:space="preserve">der erweiterten </w:t>
      </w:r>
      <w:r>
        <w:rPr>
          <w:rFonts w:cs="Arial"/>
          <w:color w:val="000000"/>
          <w:szCs w:val="24"/>
        </w:rPr>
        <w:t xml:space="preserve">Aufgaben in der Koordinierung und Steuerung der verwaltungsinternen </w:t>
      </w:r>
      <w:r w:rsidR="003E5220">
        <w:rPr>
          <w:rFonts w:cs="Arial"/>
          <w:color w:val="000000"/>
          <w:szCs w:val="24"/>
        </w:rPr>
        <w:t>und</w:t>
      </w:r>
      <w:r>
        <w:rPr>
          <w:rFonts w:cs="Arial"/>
          <w:color w:val="000000"/>
          <w:szCs w:val="24"/>
        </w:rPr>
        <w:t xml:space="preserve"> externen Akteure und Institutionen sowie zum Aufbau und zur kontinuierlichen Pflege des Wissensmanagements in den Bereichen der Luftreinhaltung bzw. des Feinstaubalarms ist die Stelle eines/einer Sachbearbeiter/in in der Abteilung Mobilität im Referat S/OB zwingend erforderlich. Die Schnittstellen zum Amt für U</w:t>
      </w:r>
      <w:r>
        <w:rPr>
          <w:rFonts w:cs="Arial"/>
          <w:color w:val="000000"/>
          <w:szCs w:val="24"/>
        </w:rPr>
        <w:t>m</w:t>
      </w:r>
      <w:r>
        <w:rPr>
          <w:rFonts w:cs="Arial"/>
          <w:color w:val="000000"/>
          <w:szCs w:val="24"/>
        </w:rPr>
        <w:t xml:space="preserve">weltschutz im Bereich „Maßnahmen zur Luftreinhaltung“ und zum Amt für öffentliche Ordnung im Bereich „Verkehrsmaßnahmen nach dem </w:t>
      </w:r>
      <w:proofErr w:type="spellStart"/>
      <w:r>
        <w:rPr>
          <w:rFonts w:cs="Arial"/>
          <w:color w:val="000000"/>
          <w:szCs w:val="24"/>
        </w:rPr>
        <w:t>Luftreinhalteplan</w:t>
      </w:r>
      <w:proofErr w:type="spellEnd"/>
      <w:r>
        <w:rPr>
          <w:rFonts w:cs="Arial"/>
          <w:color w:val="000000"/>
          <w:szCs w:val="24"/>
        </w:rPr>
        <w:t>“ sind definiert und abgegrenzt.</w:t>
      </w:r>
    </w:p>
    <w:p w:rsidR="00E227E9" w:rsidRDefault="00E227E9" w:rsidP="00E227E9">
      <w:pPr>
        <w:rPr>
          <w:szCs w:val="24"/>
        </w:rPr>
      </w:pPr>
    </w:p>
    <w:p w:rsidR="00E227E9" w:rsidRPr="00165C0D" w:rsidRDefault="00E227E9" w:rsidP="00E227E9">
      <w:pPr>
        <w:pStyle w:val="berschrift2"/>
        <w:jc w:val="both"/>
      </w:pPr>
      <w:r w:rsidRPr="00165C0D">
        <w:lastRenderedPageBreak/>
        <w:t>3.2</w:t>
      </w:r>
      <w:r w:rsidRPr="00165C0D">
        <w:tab/>
        <w:t>Bisherige Aufgabenwahrnehmung</w:t>
      </w:r>
    </w:p>
    <w:p w:rsidR="00E227E9" w:rsidRDefault="00E227E9" w:rsidP="00E227E9">
      <w:pPr>
        <w:rPr>
          <w:szCs w:val="24"/>
        </w:rPr>
      </w:pPr>
    </w:p>
    <w:p w:rsidR="009F54C6" w:rsidRDefault="009F54C6" w:rsidP="009F54C6">
      <w:pPr>
        <w:spacing w:before="120" w:after="120" w:line="276" w:lineRule="auto"/>
        <w:rPr>
          <w:rFonts w:cs="Arial"/>
          <w:szCs w:val="24"/>
        </w:rPr>
      </w:pPr>
      <w:r w:rsidRPr="009B39A0">
        <w:rPr>
          <w:rFonts w:cs="Arial"/>
          <w:szCs w:val="24"/>
        </w:rPr>
        <w:t xml:space="preserve">Im Rahmen der Vorbereitung und Umsetzung der ersten Feinstaub-Alarm-Saison (ab 11.01.2016) waren verwaltungsintern an anderen Stellen die erforderlichen Kapazitäten nicht vorhanden und </w:t>
      </w:r>
      <w:r w:rsidR="003E5220">
        <w:rPr>
          <w:rFonts w:cs="Arial"/>
          <w:szCs w:val="24"/>
        </w:rPr>
        <w:t xml:space="preserve">die </w:t>
      </w:r>
      <w:r w:rsidRPr="009B39A0">
        <w:rPr>
          <w:rFonts w:cs="Arial"/>
          <w:szCs w:val="24"/>
        </w:rPr>
        <w:t>Abteilung S/OB-Mobil übernahm zusätzlich die Aufgabe der zentralen Koordination und Steuerung des Feinstaubalarms. Konkret bedeutete dies</w:t>
      </w:r>
      <w:r>
        <w:rPr>
          <w:rFonts w:cs="Arial"/>
          <w:szCs w:val="24"/>
        </w:rPr>
        <w:t xml:space="preserve"> (neben der Beteiligung an übergeordneten Pl</w:t>
      </w:r>
      <w:r w:rsidR="003E5220">
        <w:rPr>
          <w:rFonts w:cs="Arial"/>
          <w:szCs w:val="24"/>
        </w:rPr>
        <w:t>anungs- und Abstimmungsaufgaben</w:t>
      </w:r>
      <w:r>
        <w:rPr>
          <w:rFonts w:cs="Arial"/>
          <w:szCs w:val="24"/>
        </w:rPr>
        <w:t>) be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spielsweise auch, die zentrale Anlaufstelle für sämtliche Anfragen aus der Bevölkerung zu diesem Themenkomplex zu übernehmen. </w:t>
      </w:r>
      <w:r w:rsidRPr="00BC1036">
        <w:rPr>
          <w:rFonts w:cs="Arial"/>
          <w:szCs w:val="24"/>
        </w:rPr>
        <w:t>Nur durch die befristete Zurverfügungste</w:t>
      </w:r>
      <w:r w:rsidRPr="00BC1036">
        <w:rPr>
          <w:rFonts w:cs="Arial"/>
          <w:szCs w:val="24"/>
        </w:rPr>
        <w:t>l</w:t>
      </w:r>
      <w:r w:rsidRPr="00BC1036">
        <w:rPr>
          <w:rFonts w:cs="Arial"/>
          <w:szCs w:val="24"/>
        </w:rPr>
        <w:t xml:space="preserve">lung einer zusätzlichen Personalkapazität in Höhe von 100 Prozent durch das Haupt- und Personalamt konnten diese Aufgaben bearbeitet werden. </w:t>
      </w:r>
    </w:p>
    <w:p w:rsidR="009F54C6" w:rsidRPr="0062420F" w:rsidRDefault="009F54C6" w:rsidP="009F54C6">
      <w:pPr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Als Fazit während der ersten Feinstaub-Saison (Januar bis April 2016) ist festzuhalten, dass sich die Übernahme der koordinierenden und steuernden Aufgaben sowie des Wissensmanagements durch Referat S/OB ausdrücklich bewährt hat. </w:t>
      </w:r>
    </w:p>
    <w:p w:rsidR="00512807" w:rsidRDefault="00512807" w:rsidP="001B4430">
      <w:pPr>
        <w:rPr>
          <w:szCs w:val="24"/>
        </w:rPr>
      </w:pPr>
    </w:p>
    <w:p w:rsidR="004B7D18" w:rsidRDefault="004B7D18" w:rsidP="004B7D18">
      <w:pPr>
        <w:pStyle w:val="berschrift2"/>
        <w:jc w:val="both"/>
      </w:pPr>
      <w:r>
        <w:t>3.3</w:t>
      </w:r>
      <w:r>
        <w:tab/>
        <w:t>Auswirkungen bei Ablehnung der Stellenschaffung</w:t>
      </w:r>
    </w:p>
    <w:p w:rsidR="004B7D18" w:rsidRDefault="004B7D18" w:rsidP="004B7D18">
      <w:pPr>
        <w:jc w:val="both"/>
      </w:pPr>
    </w:p>
    <w:p w:rsidR="009F54C6" w:rsidRDefault="00CA1B8B" w:rsidP="009F54C6">
      <w:p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Ohne die Stellenschaffung </w:t>
      </w:r>
      <w:r w:rsidR="00512807">
        <w:rPr>
          <w:rFonts w:cs="Arial"/>
          <w:szCs w:val="24"/>
        </w:rPr>
        <w:t>kann</w:t>
      </w:r>
      <w:r w:rsidR="009F54C6" w:rsidRPr="0062420F">
        <w:rPr>
          <w:rFonts w:cs="Arial"/>
          <w:szCs w:val="24"/>
        </w:rPr>
        <w:t xml:space="preserve"> eine sachgerechte und angemessene Bearbeitung des Themas nicht gewährleistet werden.</w:t>
      </w:r>
    </w:p>
    <w:p w:rsidR="004B7D18" w:rsidRDefault="004B7D18" w:rsidP="004B7D18"/>
    <w:p w:rsidR="004B7D18" w:rsidRDefault="004B7D18" w:rsidP="004B7D18">
      <w:pPr>
        <w:pStyle w:val="berschrift1"/>
        <w:jc w:val="both"/>
      </w:pPr>
      <w:r>
        <w:t>4</w:t>
      </w:r>
      <w:r>
        <w:tab/>
        <w:t>Stellenvermerk</w:t>
      </w:r>
      <w:r w:rsidR="00CA1B8B">
        <w:t>e</w:t>
      </w:r>
    </w:p>
    <w:p w:rsidR="00CA1B8B" w:rsidRDefault="00CA1B8B" w:rsidP="00CA1B8B"/>
    <w:p w:rsidR="002600E2" w:rsidRPr="00CA1B8B" w:rsidRDefault="002600E2" w:rsidP="002600E2">
      <w:r>
        <w:t xml:space="preserve">Die Stelle erhält einen Vermerk KW 01/2021. </w:t>
      </w:r>
    </w:p>
    <w:p w:rsidR="00CA1B8B" w:rsidRPr="00CA1B8B" w:rsidRDefault="00CA1B8B" w:rsidP="00CA1B8B"/>
    <w:sectPr w:rsidR="00CA1B8B" w:rsidRPr="00CA1B8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20" w:rsidRDefault="003E5220">
      <w:r>
        <w:separator/>
      </w:r>
    </w:p>
  </w:endnote>
  <w:endnote w:type="continuationSeparator" w:id="0">
    <w:p w:rsidR="003E5220" w:rsidRDefault="003E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Condensed">
    <w:altName w:val="Interstate Light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20" w:rsidRDefault="003E5220">
      <w:r>
        <w:separator/>
      </w:r>
    </w:p>
  </w:footnote>
  <w:footnote w:type="continuationSeparator" w:id="0">
    <w:p w:rsidR="003E5220" w:rsidRDefault="003E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20" w:rsidRDefault="003E522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3069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3069C">
      <w:rPr>
        <w:rStyle w:val="Seitenzahl"/>
      </w:rPr>
      <w:fldChar w:fldCharType="separate"/>
    </w:r>
    <w:r w:rsidR="00291BCB">
      <w:rPr>
        <w:rStyle w:val="Seitenzahl"/>
        <w:noProof/>
      </w:rPr>
      <w:t>2</w:t>
    </w:r>
    <w:r w:rsidR="00F3069C">
      <w:rPr>
        <w:rStyle w:val="Seitenzahl"/>
      </w:rPr>
      <w:fldChar w:fldCharType="end"/>
    </w:r>
    <w:r>
      <w:rPr>
        <w:rStyle w:val="Seitenzahl"/>
      </w:rPr>
      <w:t xml:space="preserve"> -</w:t>
    </w:r>
  </w:p>
  <w:p w:rsidR="003E5220" w:rsidRDefault="003E522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1F925870"/>
    <w:multiLevelType w:val="hybridMultilevel"/>
    <w:tmpl w:val="007AC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C4831"/>
    <w:multiLevelType w:val="hybridMultilevel"/>
    <w:tmpl w:val="93327E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>
    <w:nsid w:val="576B67E3"/>
    <w:multiLevelType w:val="hybridMultilevel"/>
    <w:tmpl w:val="8E107E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1146A"/>
    <w:multiLevelType w:val="hybridMultilevel"/>
    <w:tmpl w:val="CB52B1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3E90"/>
    <w:rsid w:val="00047E5A"/>
    <w:rsid w:val="00065F09"/>
    <w:rsid w:val="000660AE"/>
    <w:rsid w:val="00082927"/>
    <w:rsid w:val="000853EC"/>
    <w:rsid w:val="000A1146"/>
    <w:rsid w:val="000A206D"/>
    <w:rsid w:val="000B0823"/>
    <w:rsid w:val="000D0601"/>
    <w:rsid w:val="000E36F3"/>
    <w:rsid w:val="000F1202"/>
    <w:rsid w:val="000F19CF"/>
    <w:rsid w:val="000F4538"/>
    <w:rsid w:val="0011112B"/>
    <w:rsid w:val="0014415D"/>
    <w:rsid w:val="0014518B"/>
    <w:rsid w:val="0015052E"/>
    <w:rsid w:val="00163034"/>
    <w:rsid w:val="00165C0D"/>
    <w:rsid w:val="0017575C"/>
    <w:rsid w:val="0017767F"/>
    <w:rsid w:val="00181857"/>
    <w:rsid w:val="00184EDC"/>
    <w:rsid w:val="00191029"/>
    <w:rsid w:val="00194770"/>
    <w:rsid w:val="001A5F9B"/>
    <w:rsid w:val="001B00F4"/>
    <w:rsid w:val="001B4430"/>
    <w:rsid w:val="001B7175"/>
    <w:rsid w:val="001C7696"/>
    <w:rsid w:val="001F1823"/>
    <w:rsid w:val="001F7237"/>
    <w:rsid w:val="00236C2C"/>
    <w:rsid w:val="00242D90"/>
    <w:rsid w:val="002600E2"/>
    <w:rsid w:val="002673A3"/>
    <w:rsid w:val="00291BCB"/>
    <w:rsid w:val="002924CB"/>
    <w:rsid w:val="002A20D1"/>
    <w:rsid w:val="002B5955"/>
    <w:rsid w:val="002D0AB2"/>
    <w:rsid w:val="0030678F"/>
    <w:rsid w:val="00316B3A"/>
    <w:rsid w:val="00351C7E"/>
    <w:rsid w:val="00375F22"/>
    <w:rsid w:val="00380937"/>
    <w:rsid w:val="0039410B"/>
    <w:rsid w:val="003A663C"/>
    <w:rsid w:val="003B5E45"/>
    <w:rsid w:val="003C2399"/>
    <w:rsid w:val="003D4A28"/>
    <w:rsid w:val="003D73BF"/>
    <w:rsid w:val="003D7B0B"/>
    <w:rsid w:val="003E5220"/>
    <w:rsid w:val="003F7EBF"/>
    <w:rsid w:val="00402D97"/>
    <w:rsid w:val="004122BD"/>
    <w:rsid w:val="00412E9D"/>
    <w:rsid w:val="00425241"/>
    <w:rsid w:val="004432A7"/>
    <w:rsid w:val="00470135"/>
    <w:rsid w:val="0047606A"/>
    <w:rsid w:val="004908B5"/>
    <w:rsid w:val="0049121B"/>
    <w:rsid w:val="004A1688"/>
    <w:rsid w:val="004B0A8C"/>
    <w:rsid w:val="004B6796"/>
    <w:rsid w:val="004B7D18"/>
    <w:rsid w:val="004C1DD2"/>
    <w:rsid w:val="004C5384"/>
    <w:rsid w:val="004D0C19"/>
    <w:rsid w:val="004D57F7"/>
    <w:rsid w:val="004F5D5E"/>
    <w:rsid w:val="00512807"/>
    <w:rsid w:val="00591B19"/>
    <w:rsid w:val="005A0A9D"/>
    <w:rsid w:val="005A56AA"/>
    <w:rsid w:val="005C561A"/>
    <w:rsid w:val="005E19C6"/>
    <w:rsid w:val="005E5456"/>
    <w:rsid w:val="005F5B3D"/>
    <w:rsid w:val="005F79A6"/>
    <w:rsid w:val="00606F80"/>
    <w:rsid w:val="006121FE"/>
    <w:rsid w:val="00627671"/>
    <w:rsid w:val="00630FE6"/>
    <w:rsid w:val="00666A48"/>
    <w:rsid w:val="00676B39"/>
    <w:rsid w:val="006926B0"/>
    <w:rsid w:val="006958CE"/>
    <w:rsid w:val="006A3EC4"/>
    <w:rsid w:val="006B6D50"/>
    <w:rsid w:val="006C3FC4"/>
    <w:rsid w:val="006C7B36"/>
    <w:rsid w:val="006E0575"/>
    <w:rsid w:val="006E77D3"/>
    <w:rsid w:val="006F7E88"/>
    <w:rsid w:val="00701446"/>
    <w:rsid w:val="00710DBD"/>
    <w:rsid w:val="007156DB"/>
    <w:rsid w:val="00754659"/>
    <w:rsid w:val="00792A4D"/>
    <w:rsid w:val="007C43E3"/>
    <w:rsid w:val="007C4B03"/>
    <w:rsid w:val="007D4561"/>
    <w:rsid w:val="007E3B79"/>
    <w:rsid w:val="007E45FD"/>
    <w:rsid w:val="008007F3"/>
    <w:rsid w:val="008066EE"/>
    <w:rsid w:val="00817BB6"/>
    <w:rsid w:val="00853637"/>
    <w:rsid w:val="0086119F"/>
    <w:rsid w:val="00866B68"/>
    <w:rsid w:val="00872F3C"/>
    <w:rsid w:val="00884D6C"/>
    <w:rsid w:val="008C0923"/>
    <w:rsid w:val="008D3248"/>
    <w:rsid w:val="008E438F"/>
    <w:rsid w:val="008F0B34"/>
    <w:rsid w:val="0090687E"/>
    <w:rsid w:val="0094020D"/>
    <w:rsid w:val="009509B0"/>
    <w:rsid w:val="00966DD1"/>
    <w:rsid w:val="00973B9D"/>
    <w:rsid w:val="00976588"/>
    <w:rsid w:val="0099663A"/>
    <w:rsid w:val="009C4CDB"/>
    <w:rsid w:val="009D42AB"/>
    <w:rsid w:val="009D6948"/>
    <w:rsid w:val="009F54C6"/>
    <w:rsid w:val="00A279CB"/>
    <w:rsid w:val="00A27CA7"/>
    <w:rsid w:val="00A27CD5"/>
    <w:rsid w:val="00A43241"/>
    <w:rsid w:val="00A56FAE"/>
    <w:rsid w:val="00A71D0A"/>
    <w:rsid w:val="00A77F1E"/>
    <w:rsid w:val="00A848DA"/>
    <w:rsid w:val="00AA1827"/>
    <w:rsid w:val="00AB0845"/>
    <w:rsid w:val="00AB2C3A"/>
    <w:rsid w:val="00AC0E3F"/>
    <w:rsid w:val="00AD16CB"/>
    <w:rsid w:val="00AE021B"/>
    <w:rsid w:val="00B04290"/>
    <w:rsid w:val="00B62FA5"/>
    <w:rsid w:val="00B74BF9"/>
    <w:rsid w:val="00B80DEF"/>
    <w:rsid w:val="00B87E67"/>
    <w:rsid w:val="00BA1E1C"/>
    <w:rsid w:val="00BB405A"/>
    <w:rsid w:val="00BC4669"/>
    <w:rsid w:val="00BE037D"/>
    <w:rsid w:val="00BF3232"/>
    <w:rsid w:val="00BF61D1"/>
    <w:rsid w:val="00BF6DD6"/>
    <w:rsid w:val="00C16EF1"/>
    <w:rsid w:val="00C326AB"/>
    <w:rsid w:val="00C33AE1"/>
    <w:rsid w:val="00C448D3"/>
    <w:rsid w:val="00C65CFA"/>
    <w:rsid w:val="00C768FF"/>
    <w:rsid w:val="00C940A6"/>
    <w:rsid w:val="00C94A7E"/>
    <w:rsid w:val="00CA1B8B"/>
    <w:rsid w:val="00CB1913"/>
    <w:rsid w:val="00CC6616"/>
    <w:rsid w:val="00CD1AE9"/>
    <w:rsid w:val="00CD2400"/>
    <w:rsid w:val="00D00D7B"/>
    <w:rsid w:val="00D10862"/>
    <w:rsid w:val="00D15C36"/>
    <w:rsid w:val="00D41B2F"/>
    <w:rsid w:val="00D43DE4"/>
    <w:rsid w:val="00D6111A"/>
    <w:rsid w:val="00D762F4"/>
    <w:rsid w:val="00D9769D"/>
    <w:rsid w:val="00DA5701"/>
    <w:rsid w:val="00DB3D6C"/>
    <w:rsid w:val="00DB62C9"/>
    <w:rsid w:val="00DB6B63"/>
    <w:rsid w:val="00DC1168"/>
    <w:rsid w:val="00DD3203"/>
    <w:rsid w:val="00DE041C"/>
    <w:rsid w:val="00DE32CA"/>
    <w:rsid w:val="00DF62AC"/>
    <w:rsid w:val="00E014B6"/>
    <w:rsid w:val="00E1162F"/>
    <w:rsid w:val="00E11D5F"/>
    <w:rsid w:val="00E20E1F"/>
    <w:rsid w:val="00E227E9"/>
    <w:rsid w:val="00E35162"/>
    <w:rsid w:val="00E47632"/>
    <w:rsid w:val="00E64940"/>
    <w:rsid w:val="00E65557"/>
    <w:rsid w:val="00E7118F"/>
    <w:rsid w:val="00E743A1"/>
    <w:rsid w:val="00E84064"/>
    <w:rsid w:val="00E84367"/>
    <w:rsid w:val="00E92A83"/>
    <w:rsid w:val="00EA7BF4"/>
    <w:rsid w:val="00EC2050"/>
    <w:rsid w:val="00EC2DA4"/>
    <w:rsid w:val="00EC44EC"/>
    <w:rsid w:val="00EF718D"/>
    <w:rsid w:val="00F010F5"/>
    <w:rsid w:val="00F27657"/>
    <w:rsid w:val="00F3069C"/>
    <w:rsid w:val="00F342DC"/>
    <w:rsid w:val="00F60C42"/>
    <w:rsid w:val="00F63041"/>
    <w:rsid w:val="00F645C3"/>
    <w:rsid w:val="00F76452"/>
    <w:rsid w:val="00F9436B"/>
    <w:rsid w:val="00FB04DA"/>
    <w:rsid w:val="00FC3F53"/>
    <w:rsid w:val="00FC4249"/>
    <w:rsid w:val="00FD6B46"/>
    <w:rsid w:val="00FE67B0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66DD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66DD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66DD1"/>
    <w:rPr>
      <w:sz w:val="16"/>
    </w:rPr>
  </w:style>
  <w:style w:type="paragraph" w:styleId="Kommentartext">
    <w:name w:val="annotation text"/>
    <w:basedOn w:val="Standard"/>
    <w:semiHidden/>
    <w:rsid w:val="00966DD1"/>
    <w:rPr>
      <w:sz w:val="20"/>
    </w:rPr>
  </w:style>
  <w:style w:type="paragraph" w:styleId="Fuzeile">
    <w:name w:val="footer"/>
    <w:basedOn w:val="Standard"/>
    <w:rsid w:val="00966DD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66DD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7C4B03"/>
    <w:pPr>
      <w:autoSpaceDE w:val="0"/>
      <w:autoSpaceDN w:val="0"/>
      <w:adjustRightInd w:val="0"/>
    </w:pPr>
    <w:rPr>
      <w:rFonts w:ascii="Interstate LightCondensed" w:hAnsi="Interstate LightCondensed" w:cs="Interstate Light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5</cp:revision>
  <cp:lastPrinted>2016-10-18T16:52:00Z</cp:lastPrinted>
  <dcterms:created xsi:type="dcterms:W3CDTF">2016-10-12T10:33:00Z</dcterms:created>
  <dcterms:modified xsi:type="dcterms:W3CDTF">2016-10-18T16:53:00Z</dcterms:modified>
</cp:coreProperties>
</file>