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397717">
      <w:pPr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483784">
        <w:rPr>
          <w:szCs w:val="24"/>
        </w:rPr>
        <w:t>12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483784">
        <w:rPr>
          <w:szCs w:val="24"/>
        </w:rPr>
        <w:t>821</w:t>
      </w:r>
      <w:r w:rsidR="005F5B3D">
        <w:rPr>
          <w:szCs w:val="24"/>
        </w:rPr>
        <w:t>/201</w:t>
      </w:r>
      <w:r w:rsidR="00F16214">
        <w:rPr>
          <w:szCs w:val="24"/>
        </w:rPr>
        <w:t>6</w:t>
      </w:r>
    </w:p>
    <w:p w:rsidR="003D7B0B" w:rsidRPr="006E0575" w:rsidRDefault="003D7B0B" w:rsidP="006E0575"/>
    <w:p w:rsidR="003D7B0B" w:rsidRPr="006E0575" w:rsidRDefault="003D7B0B" w:rsidP="006E0575"/>
    <w:p w:rsidR="00AF1C2A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Default="00AF1C2A" w:rsidP="0039771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im Vorgriff auf den S</w:t>
      </w:r>
      <w:r w:rsidR="00184EDC" w:rsidRPr="00E42F96">
        <w:rPr>
          <w:b/>
          <w:sz w:val="36"/>
          <w:szCs w:val="36"/>
          <w:u w:val="single"/>
        </w:rPr>
        <w:t>tellenplan 20</w:t>
      </w:r>
      <w:r w:rsidR="00F16214">
        <w:rPr>
          <w:b/>
          <w:sz w:val="36"/>
          <w:szCs w:val="36"/>
          <w:u w:val="single"/>
        </w:rPr>
        <w:t>18</w:t>
      </w:r>
    </w:p>
    <w:p w:rsidR="000C4445" w:rsidRPr="00E42F96" w:rsidRDefault="000C4445" w:rsidP="00397717">
      <w:pPr>
        <w:jc w:val="center"/>
        <w:rPr>
          <w:b/>
          <w:sz w:val="36"/>
          <w:szCs w:val="36"/>
          <w:u w:val="single"/>
        </w:rPr>
      </w:pPr>
    </w:p>
    <w:p w:rsidR="003D7B0B" w:rsidRPr="00E42F96" w:rsidRDefault="003D7B0B" w:rsidP="006E057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645"/>
        <w:gridCol w:w="1870"/>
        <w:gridCol w:w="794"/>
        <w:gridCol w:w="1872"/>
        <w:gridCol w:w="850"/>
        <w:gridCol w:w="992"/>
        <w:gridCol w:w="1502"/>
      </w:tblGrid>
      <w:tr w:rsidR="00483784" w:rsidRPr="006E0575" w:rsidTr="00483784">
        <w:trPr>
          <w:tblHeader/>
        </w:trPr>
        <w:tc>
          <w:tcPr>
            <w:tcW w:w="1645" w:type="dxa"/>
            <w:shd w:val="pct12" w:color="auto" w:fill="FFFFFF"/>
            <w:vAlign w:val="center"/>
          </w:tcPr>
          <w:p w:rsidR="00483784" w:rsidRPr="006E0575" w:rsidRDefault="00483784" w:rsidP="0048378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Kostenstelle</w:t>
            </w:r>
          </w:p>
        </w:tc>
        <w:tc>
          <w:tcPr>
            <w:tcW w:w="1870" w:type="dxa"/>
            <w:shd w:val="pct12" w:color="auto" w:fill="FFFFFF"/>
            <w:vAlign w:val="center"/>
          </w:tcPr>
          <w:p w:rsidR="00483784" w:rsidRPr="006E0575" w:rsidRDefault="00483784" w:rsidP="0048378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483784" w:rsidRDefault="00483784" w:rsidP="0048378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83784" w:rsidRDefault="00483784" w:rsidP="0048378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oder</w:t>
            </w:r>
          </w:p>
          <w:p w:rsidR="00483784" w:rsidRPr="006E0575" w:rsidRDefault="00483784" w:rsidP="0048378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EG</w:t>
            </w:r>
          </w:p>
        </w:tc>
        <w:tc>
          <w:tcPr>
            <w:tcW w:w="1872" w:type="dxa"/>
            <w:shd w:val="pct12" w:color="auto" w:fill="FFFFFF"/>
            <w:vAlign w:val="center"/>
          </w:tcPr>
          <w:p w:rsidR="00483784" w:rsidRPr="006E0575" w:rsidRDefault="00483784" w:rsidP="0048378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850" w:type="dxa"/>
            <w:shd w:val="pct12" w:color="auto" w:fill="FFFFFF"/>
            <w:vAlign w:val="center"/>
          </w:tcPr>
          <w:p w:rsidR="00483784" w:rsidRPr="006E0575" w:rsidRDefault="00483784" w:rsidP="0048378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  <w:t xml:space="preserve"> </w:t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Stellen</w:t>
            </w:r>
          </w:p>
        </w:tc>
        <w:tc>
          <w:tcPr>
            <w:tcW w:w="992" w:type="dxa"/>
            <w:shd w:val="pct12" w:color="auto" w:fill="FFFFFF"/>
            <w:vAlign w:val="center"/>
          </w:tcPr>
          <w:p w:rsidR="00483784" w:rsidRPr="006E0575" w:rsidRDefault="00483784" w:rsidP="0048378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vermerk</w:t>
            </w:r>
          </w:p>
        </w:tc>
        <w:tc>
          <w:tcPr>
            <w:tcW w:w="1502" w:type="dxa"/>
            <w:shd w:val="pct12" w:color="auto" w:fill="FFFFFF"/>
            <w:vAlign w:val="center"/>
          </w:tcPr>
          <w:p w:rsidR="00483784" w:rsidRPr="006E0575" w:rsidRDefault="00483784" w:rsidP="00483784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sz w:val="16"/>
                <w:szCs w:val="16"/>
              </w:rPr>
              <w:t>jährl</w:t>
            </w:r>
            <w:proofErr w:type="spellEnd"/>
            <w:r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 xml:space="preserve"> wirksamer </w:t>
            </w:r>
            <w:r w:rsidRPr="006E0575">
              <w:rPr>
                <w:sz w:val="16"/>
                <w:szCs w:val="16"/>
              </w:rPr>
              <w:t>Au</w:t>
            </w:r>
            <w:r>
              <w:rPr>
                <w:sz w:val="16"/>
                <w:szCs w:val="16"/>
              </w:rPr>
              <w:t>fwand</w:t>
            </w:r>
            <w:r>
              <w:rPr>
                <w:sz w:val="16"/>
                <w:szCs w:val="16"/>
              </w:rPr>
              <w:br/>
              <w:t xml:space="preserve"> in Euro</w:t>
            </w:r>
          </w:p>
        </w:tc>
      </w:tr>
      <w:tr w:rsidR="005F5B3D" w:rsidRPr="006E0575" w:rsidTr="00483784">
        <w:tc>
          <w:tcPr>
            <w:tcW w:w="1645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Default="00824571" w:rsidP="006E0575">
            <w:pPr>
              <w:rPr>
                <w:sz w:val="20"/>
              </w:rPr>
            </w:pPr>
            <w:r>
              <w:rPr>
                <w:sz w:val="20"/>
              </w:rPr>
              <w:t>500 0400</w:t>
            </w:r>
          </w:p>
          <w:p w:rsidR="0011112B" w:rsidRDefault="0011112B" w:rsidP="006E0575">
            <w:pPr>
              <w:rPr>
                <w:sz w:val="20"/>
              </w:rPr>
            </w:pPr>
          </w:p>
          <w:p w:rsidR="0011112B" w:rsidRDefault="00824571" w:rsidP="006E0575">
            <w:pPr>
              <w:rPr>
                <w:sz w:val="20"/>
              </w:rPr>
            </w:pPr>
            <w:r>
              <w:rPr>
                <w:sz w:val="20"/>
              </w:rPr>
              <w:t>50401100</w:t>
            </w:r>
          </w:p>
          <w:p w:rsidR="005F5B3D" w:rsidRPr="006E0575" w:rsidRDefault="005F5B3D" w:rsidP="006E0575">
            <w:pPr>
              <w:rPr>
                <w:sz w:val="20"/>
              </w:rPr>
            </w:pPr>
          </w:p>
        </w:tc>
        <w:tc>
          <w:tcPr>
            <w:tcW w:w="1870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824571" w:rsidP="006E0575">
            <w:pPr>
              <w:rPr>
                <w:sz w:val="20"/>
              </w:rPr>
            </w:pPr>
            <w:r>
              <w:rPr>
                <w:sz w:val="20"/>
              </w:rPr>
              <w:t>Sozialamt</w:t>
            </w:r>
          </w:p>
        </w:tc>
        <w:tc>
          <w:tcPr>
            <w:tcW w:w="794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824571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10</w:t>
            </w:r>
          </w:p>
        </w:tc>
        <w:tc>
          <w:tcPr>
            <w:tcW w:w="1872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824571" w:rsidP="006E0575">
            <w:pPr>
              <w:rPr>
                <w:sz w:val="20"/>
              </w:rPr>
            </w:pPr>
            <w:r>
              <w:rPr>
                <w:sz w:val="20"/>
              </w:rPr>
              <w:t>Koordinator/-in</w:t>
            </w:r>
          </w:p>
        </w:tc>
        <w:tc>
          <w:tcPr>
            <w:tcW w:w="850" w:type="dxa"/>
            <w:shd w:val="pct12" w:color="auto" w:fill="FFFFFF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824571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992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824571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 01/2019</w:t>
            </w:r>
          </w:p>
        </w:tc>
        <w:tc>
          <w:tcPr>
            <w:tcW w:w="1502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FD46AA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31.350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22338C" w:rsidRPr="00714D2C" w:rsidRDefault="00483784" w:rsidP="0022338C">
      <w:pPr>
        <w:rPr>
          <w:rFonts w:cs="Arial"/>
        </w:rPr>
      </w:pPr>
      <w:r>
        <w:rPr>
          <w:rFonts w:cs="Arial"/>
          <w:szCs w:val="24"/>
        </w:rPr>
        <w:t xml:space="preserve">Beantragt wird die </w:t>
      </w:r>
      <w:r w:rsidR="0022338C" w:rsidRPr="00714D2C">
        <w:rPr>
          <w:rFonts w:cs="Arial"/>
          <w:szCs w:val="24"/>
        </w:rPr>
        <w:t>Schaffun</w:t>
      </w:r>
      <w:r w:rsidR="0022338C">
        <w:rPr>
          <w:rFonts w:cs="Arial"/>
          <w:szCs w:val="24"/>
        </w:rPr>
        <w:t xml:space="preserve">g einer 0,50 Stelle </w:t>
      </w:r>
      <w:r w:rsidR="0022338C" w:rsidRPr="00865609">
        <w:t xml:space="preserve">für </w:t>
      </w:r>
      <w:r w:rsidR="0022338C" w:rsidRPr="00514E86">
        <w:t>die Koordination der Bürgerschaftlich Engagierten in der Flüchtlingsarbeit</w:t>
      </w:r>
      <w:r w:rsidR="0022338C" w:rsidRPr="00714D2C">
        <w:rPr>
          <w:rFonts w:cs="Arial"/>
          <w:szCs w:val="24"/>
        </w:rPr>
        <w:t xml:space="preserve"> </w:t>
      </w:r>
      <w:r w:rsidR="0022338C" w:rsidRPr="00514E86">
        <w:t xml:space="preserve">in Entgeltgruppe 10 TVöD </w:t>
      </w:r>
      <w:r w:rsidR="0022338C" w:rsidRPr="00865609">
        <w:t xml:space="preserve">– befristet vom 01.01.2017 bis 31.12.2018 </w:t>
      </w:r>
      <w:r w:rsidR="0022338C">
        <w:rPr>
          <w:rFonts w:cs="Arial"/>
        </w:rPr>
        <w:t>in der Abteilung Sozialarbeit und Betreuungsbehörde des Sozialamts.</w:t>
      </w:r>
    </w:p>
    <w:p w:rsidR="003D7B0B" w:rsidRDefault="003D7B0B" w:rsidP="00884D6C"/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3D7B0B" w:rsidRDefault="0022338C" w:rsidP="00884D6C">
      <w:r w:rsidRPr="00714D2C">
        <w:rPr>
          <w:rFonts w:cs="Arial"/>
        </w:rPr>
        <w:t>Arbeitsvermehrung</w:t>
      </w:r>
      <w:r>
        <w:rPr>
          <w:rFonts w:cs="Arial"/>
        </w:rPr>
        <w:t>;</w:t>
      </w:r>
      <w:r w:rsidR="00611BF2">
        <w:rPr>
          <w:rFonts w:cs="Arial"/>
        </w:rPr>
        <w:t xml:space="preserve"> Sachbeschluss</w:t>
      </w:r>
      <w:r w:rsidR="00835BFC">
        <w:rPr>
          <w:rFonts w:cs="Arial"/>
        </w:rPr>
        <w:t xml:space="preserve"> </w:t>
      </w:r>
      <w:proofErr w:type="spellStart"/>
      <w:r w:rsidR="00835BFC">
        <w:rPr>
          <w:rFonts w:cs="Arial"/>
        </w:rPr>
        <w:t>GRDrs</w:t>
      </w:r>
      <w:proofErr w:type="spellEnd"/>
      <w:r w:rsidR="00835BFC">
        <w:rPr>
          <w:rFonts w:cs="Arial"/>
        </w:rPr>
        <w:t xml:space="preserve"> 663/2016</w:t>
      </w:r>
      <w:r w:rsidR="000C4445">
        <w:rPr>
          <w:rFonts w:cs="Arial"/>
        </w:rPr>
        <w:t>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0E6D8E" w:rsidRPr="000E6D8E" w:rsidRDefault="000E6D8E" w:rsidP="000E6D8E"/>
    <w:p w:rsidR="000E6D8E" w:rsidRDefault="00835BFC" w:rsidP="00835BFC">
      <w:pPr>
        <w:rPr>
          <w:color w:val="000000"/>
        </w:rPr>
      </w:pPr>
      <w:r>
        <w:rPr>
          <w:color w:val="000000"/>
        </w:rPr>
        <w:t xml:space="preserve">Die Bürgerstiftung Stuttgart hat sich </w:t>
      </w:r>
      <w:r w:rsidR="00C43FEB">
        <w:rPr>
          <w:color w:val="000000"/>
        </w:rPr>
        <w:t xml:space="preserve">Anfang 2015 </w:t>
      </w:r>
      <w:r>
        <w:rPr>
          <w:color w:val="000000"/>
        </w:rPr>
        <w:t xml:space="preserve">mit Unterstützung weiterer Stiftungen bereit erklärt, für drei Jahre die Beschäftigung einer Koordinatorin </w:t>
      </w:r>
      <w:r w:rsidR="00483784">
        <w:rPr>
          <w:color w:val="000000"/>
        </w:rPr>
        <w:t>in Höhe von</w:t>
      </w:r>
      <w:r>
        <w:rPr>
          <w:color w:val="000000"/>
        </w:rPr>
        <w:t xml:space="preserve"> 75 % einer Vollzeit</w:t>
      </w:r>
      <w:r w:rsidR="00483784">
        <w:rPr>
          <w:color w:val="000000"/>
        </w:rPr>
        <w:t>kraft</w:t>
      </w:r>
      <w:r>
        <w:rPr>
          <w:color w:val="000000"/>
        </w:rPr>
        <w:t xml:space="preserve"> bei der Landeshauptstadt Stuttgart zu finanzieren </w:t>
      </w:r>
      <w:r w:rsidR="000E6D8E">
        <w:rPr>
          <w:color w:val="000000"/>
        </w:rPr>
        <w:t>(siehe GRDrs 82/2015</w:t>
      </w:r>
      <w:r>
        <w:rPr>
          <w:color w:val="000000"/>
        </w:rPr>
        <w:t xml:space="preserve"> „Ermächtigung zur Beschäftigung von Personal für die Koordination der Bü</w:t>
      </w:r>
      <w:r>
        <w:rPr>
          <w:color w:val="000000"/>
        </w:rPr>
        <w:t>r</w:t>
      </w:r>
      <w:r>
        <w:rPr>
          <w:color w:val="000000"/>
        </w:rPr>
        <w:t>gerschaftlich Engagierten in der Flüchtlingsarbeit“).</w:t>
      </w:r>
    </w:p>
    <w:p w:rsidR="00C43FEB" w:rsidRDefault="00C43FEB" w:rsidP="00835BFC">
      <w:pPr>
        <w:rPr>
          <w:color w:val="000000"/>
        </w:rPr>
      </w:pPr>
    </w:p>
    <w:p w:rsidR="00835BFC" w:rsidRDefault="00835BFC" w:rsidP="00835BFC">
      <w:pPr>
        <w:rPr>
          <w:noProof/>
        </w:rPr>
      </w:pPr>
      <w:r>
        <w:rPr>
          <w:color w:val="000000"/>
        </w:rPr>
        <w:t xml:space="preserve">Zum Zeitpunkt </w:t>
      </w:r>
      <w:r w:rsidRPr="00514E86">
        <w:t xml:space="preserve">der </w:t>
      </w:r>
      <w:r w:rsidR="00483784">
        <w:t>Einstellung der</w:t>
      </w:r>
      <w:r w:rsidRPr="00514E86">
        <w:t xml:space="preserve"> Koordinatorin zum </w:t>
      </w:r>
      <w:r>
        <w:t>1. </w:t>
      </w:r>
      <w:r w:rsidRPr="00514E86">
        <w:t>Mai 2015 waren ca. 1.400 Stuttgarter Bürgerinnen</w:t>
      </w:r>
      <w:r>
        <w:rPr>
          <w:color w:val="000000"/>
        </w:rPr>
        <w:t xml:space="preserve"> und Bürger in 26 Flüchtlingsfreundeskreisen engagiert, derzeit sind 3.500 Menschen in 41 </w:t>
      </w:r>
      <w:r w:rsidRPr="00A87438">
        <w:t>Freundeskreisen und Initiativen ehrenamtlich tätig. Auße</w:t>
      </w:r>
      <w:r w:rsidRPr="00A87438">
        <w:t>r</w:t>
      </w:r>
      <w:r w:rsidRPr="00A87438">
        <w:t xml:space="preserve">dem leisten inzwischen auch Firmen, Schulen, Kultureinrichtungen, </w:t>
      </w:r>
      <w:proofErr w:type="spellStart"/>
      <w:r w:rsidRPr="00A87438">
        <w:t>Migrantenorganisationen</w:t>
      </w:r>
      <w:proofErr w:type="spellEnd"/>
      <w:r w:rsidRPr="00A87438">
        <w:t xml:space="preserve"> etc. ihren Beitrag in der Flüchtlingsarbeit.</w:t>
      </w:r>
      <w:r>
        <w:rPr>
          <w:color w:val="000000"/>
        </w:rPr>
        <w:t xml:space="preserve"> Sie alle benötigen eine/-n Ansprechpartner/-in </w:t>
      </w:r>
      <w:r w:rsidR="000C4445">
        <w:rPr>
          <w:color w:val="000000"/>
        </w:rPr>
        <w:t xml:space="preserve">in der Verwaltung. Eine </w:t>
      </w:r>
      <w:r>
        <w:rPr>
          <w:noProof/>
        </w:rPr>
        <w:t>nachhaltige Sicherstellung des Engagements zur Integration der Flüchtlinge erfordert hauptamtliche Ressourcen.</w:t>
      </w:r>
    </w:p>
    <w:p w:rsidR="00C43FEB" w:rsidRDefault="00C43FEB" w:rsidP="00835BFC">
      <w:pPr>
        <w:rPr>
          <w:noProof/>
        </w:rPr>
      </w:pPr>
    </w:p>
    <w:p w:rsidR="00C43FEB" w:rsidRDefault="00C43FEB" w:rsidP="00835BFC">
      <w:pPr>
        <w:rPr>
          <w:noProof/>
        </w:rPr>
      </w:pPr>
      <w:r>
        <w:rPr>
          <w:noProof/>
        </w:rPr>
        <w:lastRenderedPageBreak/>
        <w:t>Die Koordination stellt einen Service für die Bürgerschaftlich Engagierten dar</w:t>
      </w:r>
      <w:r w:rsidR="00483784">
        <w:rPr>
          <w:noProof/>
        </w:rPr>
        <w:t>. D</w:t>
      </w:r>
      <w:r>
        <w:rPr>
          <w:noProof/>
        </w:rPr>
        <w:t xml:space="preserve">iese kommunizieren ihre Anliegen und Bedürfnisse nach Vernetzung, Schulungen, Informationen etc., </w:t>
      </w:r>
      <w:r w:rsidR="00483784">
        <w:rPr>
          <w:noProof/>
        </w:rPr>
        <w:t>welche zu koordinieren sind.</w:t>
      </w:r>
    </w:p>
    <w:p w:rsidR="00C43FEB" w:rsidRDefault="00C43FEB" w:rsidP="00835BFC">
      <w:pPr>
        <w:rPr>
          <w:noProof/>
        </w:rPr>
      </w:pP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0E6D8E" w:rsidRPr="000363EC" w:rsidRDefault="000E6D8E" w:rsidP="000E6D8E">
      <w:pPr>
        <w:rPr>
          <w:noProof/>
        </w:rPr>
      </w:pPr>
      <w:r>
        <w:rPr>
          <w:noProof/>
        </w:rPr>
        <w:t xml:space="preserve">Die </w:t>
      </w:r>
      <w:r w:rsidR="000C4445">
        <w:rPr>
          <w:noProof/>
        </w:rPr>
        <w:t>bestehende</w:t>
      </w:r>
      <w:r w:rsidR="00611BF2">
        <w:rPr>
          <w:noProof/>
        </w:rPr>
        <w:t xml:space="preserve"> Ermächtigung</w:t>
      </w:r>
      <w:r>
        <w:rPr>
          <w:noProof/>
        </w:rPr>
        <w:t xml:space="preserve"> </w:t>
      </w:r>
      <w:r w:rsidR="00483784">
        <w:rPr>
          <w:noProof/>
        </w:rPr>
        <w:t xml:space="preserve">zur Beschäftigung einer 0,75 Vollzeitkraft außerhalb des Stellenplans </w:t>
      </w:r>
      <w:r>
        <w:rPr>
          <w:noProof/>
        </w:rPr>
        <w:t>für die Koordination der Bürgerschaftlich Engagierten in der Flüchtlingsarbeit ist auf drei Jahre befristet und endet am 30. Ap</w:t>
      </w:r>
      <w:r w:rsidR="00483784">
        <w:rPr>
          <w:noProof/>
        </w:rPr>
        <w:t xml:space="preserve">ril 2018. </w:t>
      </w:r>
      <w:r w:rsidR="00611BF2">
        <w:rPr>
          <w:noProof/>
        </w:rPr>
        <w:t xml:space="preserve">Diese vorhandenen </w:t>
      </w:r>
      <w:r>
        <w:rPr>
          <w:noProof/>
        </w:rPr>
        <w:t xml:space="preserve">Ressourcen decken den hohen Koordinierungs- und </w:t>
      </w:r>
      <w:r w:rsidRPr="00A87438">
        <w:rPr>
          <w:noProof/>
        </w:rPr>
        <w:t xml:space="preserve">Unterstützungsaufwand der wachsenden Engagementgruppen und des Engagementumfangs nicht </w:t>
      </w:r>
      <w:r w:rsidR="000C4445">
        <w:rPr>
          <w:noProof/>
        </w:rPr>
        <w:t xml:space="preserve">vollständig </w:t>
      </w:r>
      <w:r w:rsidRPr="00A87438">
        <w:rPr>
          <w:noProof/>
        </w:rPr>
        <w:t>ab.</w:t>
      </w:r>
      <w:r>
        <w:rPr>
          <w:noProof/>
        </w:rPr>
        <w:t xml:space="preserve"> </w:t>
      </w:r>
      <w:r>
        <w:rPr>
          <w:color w:val="000000"/>
        </w:rPr>
        <w:t>Neue Formen Bürgerschaftlichen Engag</w:t>
      </w:r>
      <w:r>
        <w:rPr>
          <w:color w:val="000000"/>
        </w:rPr>
        <w:t>e</w:t>
      </w:r>
      <w:r>
        <w:rPr>
          <w:color w:val="000000"/>
        </w:rPr>
        <w:t xml:space="preserve">ments, wie z. B. Patenschaften, bedürfen zusätzlich einer intensiveren </w:t>
      </w:r>
      <w:r w:rsidRPr="000363EC">
        <w:t>Begleitung.</w:t>
      </w:r>
    </w:p>
    <w:p w:rsidR="000E6D8E" w:rsidRDefault="000E6D8E" w:rsidP="000E6D8E">
      <w:pPr>
        <w:rPr>
          <w:noProof/>
        </w:rPr>
      </w:pPr>
    </w:p>
    <w:p w:rsidR="003D7B0B" w:rsidRDefault="000E6D8E" w:rsidP="000E6D8E">
      <w:pPr>
        <w:rPr>
          <w:noProof/>
        </w:rPr>
      </w:pPr>
      <w:r>
        <w:rPr>
          <w:noProof/>
        </w:rPr>
        <w:t xml:space="preserve">Unter der Voraussetzung, dass die </w:t>
      </w:r>
      <w:r w:rsidRPr="00514E86">
        <w:rPr>
          <w:noProof/>
        </w:rPr>
        <w:t xml:space="preserve">Landeshauptstadt Stuttgart eine </w:t>
      </w:r>
      <w:r w:rsidR="00611BF2">
        <w:rPr>
          <w:noProof/>
        </w:rPr>
        <w:t xml:space="preserve">zusätzliche </w:t>
      </w:r>
      <w:r w:rsidR="000C4445">
        <w:rPr>
          <w:noProof/>
        </w:rPr>
        <w:t>50%-</w:t>
      </w:r>
      <w:r w:rsidRPr="00514E86">
        <w:rPr>
          <w:noProof/>
        </w:rPr>
        <w:t xml:space="preserve"> Planstelle schafft, hat sich die Bürgerstiftung </w:t>
      </w:r>
      <w:r>
        <w:rPr>
          <w:noProof/>
        </w:rPr>
        <w:t xml:space="preserve">Stuttgart </w:t>
      </w:r>
      <w:r w:rsidRPr="00514E86">
        <w:rPr>
          <w:noProof/>
        </w:rPr>
        <w:t>mit weiteren Stiftungen bereit erklärt, die</w:t>
      </w:r>
      <w:r>
        <w:rPr>
          <w:noProof/>
        </w:rPr>
        <w:t xml:space="preserve"> Aufstockung der Stelle – je nach Höhe der finanziellen Mittel der beteiligten Stiftungen – auf 80 bis 100 % einer Vollzeitstelle, befristet für 2 Jahre, mitzufinanzieren.</w:t>
      </w:r>
    </w:p>
    <w:p w:rsidR="000E6D8E" w:rsidRDefault="000E6D8E" w:rsidP="000E6D8E">
      <w:pPr>
        <w:rPr>
          <w:noProof/>
        </w:rPr>
      </w:pPr>
    </w:p>
    <w:p w:rsidR="000C4445" w:rsidRDefault="000E6D8E" w:rsidP="000E6D8E">
      <w:r>
        <w:rPr>
          <w:color w:val="000000"/>
        </w:rPr>
        <w:t>Eine erfolgreiche Mitarbeit der freiwillig Engagierten gelingt nur, wenn diese ausre</w:t>
      </w:r>
      <w:r>
        <w:rPr>
          <w:color w:val="000000"/>
        </w:rPr>
        <w:t>i</w:t>
      </w:r>
      <w:r>
        <w:rPr>
          <w:color w:val="000000"/>
        </w:rPr>
        <w:t xml:space="preserve">chend auf ihre </w:t>
      </w:r>
      <w:r w:rsidRPr="000363EC">
        <w:t xml:space="preserve">oft anspruchsvolle Aufgabe vorbereitet und begleitet werden. Vielen </w:t>
      </w:r>
    </w:p>
    <w:p w:rsidR="000E6D8E" w:rsidRDefault="000E6D8E" w:rsidP="000E6D8E">
      <w:pPr>
        <w:rPr>
          <w:color w:val="000000"/>
        </w:rPr>
      </w:pPr>
      <w:r w:rsidRPr="000363EC">
        <w:t>Ehrenamtlichen fehlen die</w:t>
      </w:r>
      <w:r>
        <w:rPr>
          <w:color w:val="000000"/>
        </w:rPr>
        <w:t xml:space="preserve"> Erfahrungen und sie haben u. a. viele Fragen zum Umgang mit den oftmals schwer traumatisierten Flüchtlingen. Deshalb ist die Qualifizierung der Helferinnen und Helfer unbedingt nötig. </w:t>
      </w:r>
    </w:p>
    <w:p w:rsidR="000E6D8E" w:rsidRDefault="000E6D8E" w:rsidP="000E6D8E">
      <w:pPr>
        <w:rPr>
          <w:color w:val="000000"/>
        </w:rPr>
      </w:pPr>
    </w:p>
    <w:p w:rsidR="000E6D8E" w:rsidRDefault="000E6D8E" w:rsidP="000E6D8E">
      <w:pPr>
        <w:rPr>
          <w:noProof/>
        </w:rPr>
      </w:pPr>
      <w:r>
        <w:rPr>
          <w:noProof/>
        </w:rPr>
        <w:t xml:space="preserve">Mit der Schaffung dieser </w:t>
      </w:r>
      <w:r w:rsidRPr="00514E86">
        <w:rPr>
          <w:noProof/>
        </w:rPr>
        <w:t>0,5</w:t>
      </w:r>
      <w:r w:rsidR="000C4445">
        <w:rPr>
          <w:noProof/>
        </w:rPr>
        <w:t>0</w:t>
      </w:r>
      <w:r w:rsidRPr="00514E86">
        <w:rPr>
          <w:noProof/>
        </w:rPr>
        <w:t xml:space="preserve"> Planstelle werden die Ermöglichungs- und </w:t>
      </w:r>
      <w:r w:rsidR="006836E3">
        <w:rPr>
          <w:noProof/>
        </w:rPr>
        <w:t xml:space="preserve"> Be</w:t>
      </w:r>
      <w:r w:rsidRPr="00514E86">
        <w:rPr>
          <w:noProof/>
        </w:rPr>
        <w:t>teiligungsstrukturen für Einzelpersonen</w:t>
      </w:r>
      <w:r>
        <w:rPr>
          <w:noProof/>
        </w:rPr>
        <w:t xml:space="preserve"> und Gruppen Bürgerschaftlich Engagierter in der Flüchtlingsarbeit weiter optimiert. </w:t>
      </w:r>
    </w:p>
    <w:p w:rsidR="000E6D8E" w:rsidRDefault="000E6D8E" w:rsidP="000E6D8E"/>
    <w:p w:rsidR="00C43FEB" w:rsidRDefault="006E0575" w:rsidP="006836E3">
      <w:pPr>
        <w:pStyle w:val="berschrift2"/>
      </w:pPr>
      <w:r>
        <w:t>3.3</w:t>
      </w:r>
      <w:r w:rsidR="003D7B0B">
        <w:tab/>
        <w:t>Auswirkungen bei Ablehnung der Stellenschaffung</w:t>
      </w:r>
    </w:p>
    <w:p w:rsidR="00C43FEB" w:rsidRDefault="00C43FEB" w:rsidP="00884D6C">
      <w:r>
        <w:t>Sozialpolitisches Ziel ist die Integration der geflüchteten Menschen in die Stuttgarter Stadtgesellschaft. Eine wichtige Rolle spielen dabei die Integrationsleistungen der Bü</w:t>
      </w:r>
      <w:r>
        <w:t>r</w:t>
      </w:r>
      <w:r>
        <w:t>gerschaftlich Engagierten. Dies kann nur dann gelingen, w</w:t>
      </w:r>
      <w:r w:rsidR="00333AA5">
        <w:t>enn geeignete hauptamtliche Unterstützungsstrukturen vorhanden sind. Sie tragen wesentlich dazu bei, dass die Aufgaben zwischen Haupt- und Ehrenamt aufeinander abgestimmt</w:t>
      </w:r>
      <w:r w:rsidR="00333AA5" w:rsidRPr="00333AA5">
        <w:t xml:space="preserve"> </w:t>
      </w:r>
      <w:r w:rsidR="00333AA5">
        <w:t xml:space="preserve">und Überforderung vermieden wird. </w:t>
      </w:r>
    </w:p>
    <w:p w:rsidR="00333AA5" w:rsidRDefault="00333AA5" w:rsidP="00884D6C"/>
    <w:p w:rsidR="00333AA5" w:rsidRDefault="00333AA5" w:rsidP="00884D6C">
      <w:r>
        <w:t xml:space="preserve">Die zu schaffende </w:t>
      </w:r>
      <w:r w:rsidR="00392300">
        <w:t xml:space="preserve">0,5 </w:t>
      </w:r>
      <w:proofErr w:type="gramStart"/>
      <w:r>
        <w:t>Stelle hat</w:t>
      </w:r>
      <w:proofErr w:type="gramEnd"/>
      <w:r>
        <w:t xml:space="preserve"> ihren Arbeitsschwerpunkt in der Qualifizierung und B</w:t>
      </w:r>
      <w:r>
        <w:t>e</w:t>
      </w:r>
      <w:r>
        <w:t xml:space="preserve">gleitung der Bürgerschaftlich Engagierten unter Berücksichtigung ihrer Bedürfnisse und Ressourcen. </w:t>
      </w:r>
    </w:p>
    <w:p w:rsidR="00333AA5" w:rsidRDefault="00333AA5" w:rsidP="00884D6C"/>
    <w:p w:rsidR="00CB33F0" w:rsidRDefault="00BD7ECB" w:rsidP="00CB33F0">
      <w:r>
        <w:rPr>
          <w:color w:val="000000"/>
        </w:rPr>
        <w:t xml:space="preserve">Eine fehlende Qualifizierung </w:t>
      </w:r>
      <w:r w:rsidR="00333AA5">
        <w:rPr>
          <w:color w:val="000000"/>
        </w:rPr>
        <w:t xml:space="preserve">und Unterstützung </w:t>
      </w:r>
      <w:r>
        <w:rPr>
          <w:color w:val="000000"/>
        </w:rPr>
        <w:t xml:space="preserve">der freiwillig Engagierten führt zur Frustration. Der Erfolg ihres Einsatzes würde in Frage gestellt. </w:t>
      </w:r>
      <w:r w:rsidR="00CB33F0">
        <w:rPr>
          <w:color w:val="000000"/>
        </w:rPr>
        <w:t>E</w:t>
      </w:r>
      <w:r w:rsidR="00CB33F0">
        <w:rPr>
          <w:noProof/>
        </w:rPr>
        <w:t xml:space="preserve">ine nachhaltige Sicherstellung des Engagements zur Integration der Flüchtlinge </w:t>
      </w:r>
      <w:r>
        <w:rPr>
          <w:noProof/>
        </w:rPr>
        <w:t xml:space="preserve">wäre nicht möglich. 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0C4445">
        <w:t>Stellenvermerk</w:t>
      </w:r>
    </w:p>
    <w:p w:rsidR="003D7B0B" w:rsidRDefault="003D7B0B" w:rsidP="00884D6C"/>
    <w:p w:rsidR="006E0575" w:rsidRDefault="000C4445" w:rsidP="00884D6C">
      <w:r>
        <w:t>KW 01/2019</w:t>
      </w:r>
    </w:p>
    <w:sectPr w:rsidR="006E0575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84" w:rsidRDefault="00483784">
      <w:r>
        <w:separator/>
      </w:r>
    </w:p>
  </w:endnote>
  <w:endnote w:type="continuationSeparator" w:id="0">
    <w:p w:rsidR="00483784" w:rsidRDefault="0048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84" w:rsidRDefault="00483784">
      <w:r>
        <w:separator/>
      </w:r>
    </w:p>
  </w:footnote>
  <w:footnote w:type="continuationSeparator" w:id="0">
    <w:p w:rsidR="00483784" w:rsidRDefault="00483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84" w:rsidRDefault="00483784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374E71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374E71">
      <w:rPr>
        <w:rStyle w:val="Seitenzahl"/>
      </w:rPr>
      <w:fldChar w:fldCharType="separate"/>
    </w:r>
    <w:r w:rsidR="00FD46AA">
      <w:rPr>
        <w:rStyle w:val="Seitenzahl"/>
        <w:noProof/>
      </w:rPr>
      <w:t>2</w:t>
    </w:r>
    <w:r w:rsidR="00374E71">
      <w:rPr>
        <w:rStyle w:val="Seitenzahl"/>
      </w:rPr>
      <w:fldChar w:fldCharType="end"/>
    </w:r>
    <w:r>
      <w:rPr>
        <w:rStyle w:val="Seitenzahl"/>
      </w:rPr>
      <w:t xml:space="preserve"> -</w:t>
    </w:r>
  </w:p>
  <w:p w:rsidR="00483784" w:rsidRDefault="0048378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activeWritingStyle w:appName="MSWord" w:lang="de-DE" w:vendorID="64" w:dllVersion="131078" w:nlCheck="1" w:checkStyle="1"/>
  <w:proofState w:spelling="clean" w:grammar="clean"/>
  <w:stylePaneFormatFilter w:val="3001"/>
  <w:styleLockQFSet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55758"/>
    <w:rsid w:val="000A1146"/>
    <w:rsid w:val="000C4445"/>
    <w:rsid w:val="000E6D8E"/>
    <w:rsid w:val="001034AF"/>
    <w:rsid w:val="0011112B"/>
    <w:rsid w:val="001151F5"/>
    <w:rsid w:val="0014415D"/>
    <w:rsid w:val="00163034"/>
    <w:rsid w:val="00164678"/>
    <w:rsid w:val="00165C0D"/>
    <w:rsid w:val="00181857"/>
    <w:rsid w:val="00184EDC"/>
    <w:rsid w:val="00194770"/>
    <w:rsid w:val="001A5F9B"/>
    <w:rsid w:val="001F7237"/>
    <w:rsid w:val="0022250A"/>
    <w:rsid w:val="0022338C"/>
    <w:rsid w:val="002924CB"/>
    <w:rsid w:val="002A20D1"/>
    <w:rsid w:val="002A4DE3"/>
    <w:rsid w:val="002B5955"/>
    <w:rsid w:val="00327CEA"/>
    <w:rsid w:val="00333AA5"/>
    <w:rsid w:val="00374E71"/>
    <w:rsid w:val="00380937"/>
    <w:rsid w:val="00392300"/>
    <w:rsid w:val="00397717"/>
    <w:rsid w:val="003D7B0B"/>
    <w:rsid w:val="00470135"/>
    <w:rsid w:val="0047606A"/>
    <w:rsid w:val="00483784"/>
    <w:rsid w:val="004908B5"/>
    <w:rsid w:val="0049121B"/>
    <w:rsid w:val="004A1688"/>
    <w:rsid w:val="004B6796"/>
    <w:rsid w:val="00596699"/>
    <w:rsid w:val="005A0A9D"/>
    <w:rsid w:val="005A56AA"/>
    <w:rsid w:val="005E19C6"/>
    <w:rsid w:val="005F5B3D"/>
    <w:rsid w:val="00606F80"/>
    <w:rsid w:val="00611BF2"/>
    <w:rsid w:val="00622CC7"/>
    <w:rsid w:val="00660389"/>
    <w:rsid w:val="006836E3"/>
    <w:rsid w:val="006B6D50"/>
    <w:rsid w:val="006E0575"/>
    <w:rsid w:val="0072799A"/>
    <w:rsid w:val="00754659"/>
    <w:rsid w:val="007E3B79"/>
    <w:rsid w:val="008066EE"/>
    <w:rsid w:val="00817BB6"/>
    <w:rsid w:val="00824571"/>
    <w:rsid w:val="00835BFC"/>
    <w:rsid w:val="00884D6C"/>
    <w:rsid w:val="009373F6"/>
    <w:rsid w:val="00976588"/>
    <w:rsid w:val="00A27CA7"/>
    <w:rsid w:val="00A71D0A"/>
    <w:rsid w:val="00A77F1E"/>
    <w:rsid w:val="00A847C4"/>
    <w:rsid w:val="00AB389D"/>
    <w:rsid w:val="00AF0DEA"/>
    <w:rsid w:val="00AF1C2A"/>
    <w:rsid w:val="00AF7C46"/>
    <w:rsid w:val="00B04290"/>
    <w:rsid w:val="00B33BDB"/>
    <w:rsid w:val="00B5006A"/>
    <w:rsid w:val="00B80DEF"/>
    <w:rsid w:val="00B91903"/>
    <w:rsid w:val="00BC4669"/>
    <w:rsid w:val="00BD7ECB"/>
    <w:rsid w:val="00C16EF1"/>
    <w:rsid w:val="00C43FEB"/>
    <w:rsid w:val="00C448D3"/>
    <w:rsid w:val="00CB33F0"/>
    <w:rsid w:val="00CF62E5"/>
    <w:rsid w:val="00D5356E"/>
    <w:rsid w:val="00D66D3A"/>
    <w:rsid w:val="00D743D4"/>
    <w:rsid w:val="00DB3D6C"/>
    <w:rsid w:val="00E014B6"/>
    <w:rsid w:val="00E1162F"/>
    <w:rsid w:val="00E11D5F"/>
    <w:rsid w:val="00E20E1F"/>
    <w:rsid w:val="00E42F96"/>
    <w:rsid w:val="00E7118F"/>
    <w:rsid w:val="00E716D0"/>
    <w:rsid w:val="00EE1F06"/>
    <w:rsid w:val="00F137F9"/>
    <w:rsid w:val="00F16214"/>
    <w:rsid w:val="00F27657"/>
    <w:rsid w:val="00F342DC"/>
    <w:rsid w:val="00F56F93"/>
    <w:rsid w:val="00F63041"/>
    <w:rsid w:val="00F76452"/>
    <w:rsid w:val="00FC6C8B"/>
    <w:rsid w:val="00FD46AA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43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Landeshauptstadt Stuttgart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2016/2017</dc:subject>
  <dc:creator>10-3</dc:creator>
  <cp:lastModifiedBy>U103007</cp:lastModifiedBy>
  <cp:revision>7</cp:revision>
  <cp:lastPrinted>2016-10-12T16:06:00Z</cp:lastPrinted>
  <dcterms:created xsi:type="dcterms:W3CDTF">2016-10-12T13:21:00Z</dcterms:created>
  <dcterms:modified xsi:type="dcterms:W3CDTF">2016-10-12T16:07:00Z</dcterms:modified>
</cp:coreProperties>
</file>