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F7" w:rsidRDefault="00E120F7" w:rsidP="00397717">
      <w:pPr>
        <w:jc w:val="right"/>
      </w:pPr>
      <w:r>
        <w:t xml:space="preserve">Anlage 1 zur </w:t>
      </w:r>
      <w:proofErr w:type="spellStart"/>
      <w:r>
        <w:t>GRDrs</w:t>
      </w:r>
      <w:proofErr w:type="spellEnd"/>
      <w:r>
        <w:t xml:space="preserve"> 342/2021</w:t>
      </w:r>
      <w:bookmarkStart w:id="0" w:name="_GoBack"/>
      <w:bookmarkEnd w:id="0"/>
    </w:p>
    <w:p w:rsidR="003D7B0B" w:rsidRPr="006E0575" w:rsidRDefault="003D7B0B" w:rsidP="00397717">
      <w:pPr>
        <w:jc w:val="right"/>
      </w:pPr>
      <w:r w:rsidRPr="006E0575">
        <w:t xml:space="preserve">Anlage </w:t>
      </w:r>
      <w:r w:rsidR="0072799A">
        <w:fldChar w:fldCharType="begin">
          <w:ffData>
            <w:name w:val=""/>
            <w:enabled/>
            <w:calcOnExit w:val="0"/>
            <w:textInput/>
          </w:ffData>
        </w:fldChar>
      </w:r>
      <w:r w:rsidR="006E0575">
        <w:instrText xml:space="preserve"> FORMTEXT </w:instrText>
      </w:r>
      <w:r w:rsidR="0072799A">
        <w:fldChar w:fldCharType="separate"/>
      </w:r>
      <w:r w:rsidR="002B5955">
        <w:rPr>
          <w:noProof/>
        </w:rPr>
        <w:t> </w:t>
      </w:r>
      <w:r w:rsidR="002B5955">
        <w:rPr>
          <w:noProof/>
        </w:rPr>
        <w:t> </w:t>
      </w:r>
      <w:r w:rsidR="002B5955">
        <w:rPr>
          <w:noProof/>
        </w:rPr>
        <w:t> </w:t>
      </w:r>
      <w:r w:rsidR="002B5955">
        <w:rPr>
          <w:noProof/>
        </w:rPr>
        <w:t> </w:t>
      </w:r>
      <w:r w:rsidR="002B5955">
        <w:rPr>
          <w:noProof/>
        </w:rPr>
        <w:t> </w:t>
      </w:r>
      <w:r w:rsidR="0072799A">
        <w:fldChar w:fldCharType="end"/>
      </w:r>
      <w:r w:rsidRPr="006E0575">
        <w:t xml:space="preserve"> zur </w:t>
      </w:r>
      <w:proofErr w:type="spellStart"/>
      <w:r w:rsidRPr="006E0575">
        <w:t>GRDrs</w:t>
      </w:r>
      <w:proofErr w:type="spellEnd"/>
      <w:r w:rsidRPr="006E0575">
        <w:t xml:space="preserve"> </w:t>
      </w:r>
      <w:r w:rsidR="0072799A">
        <w:fldChar w:fldCharType="begin">
          <w:ffData>
            <w:name w:val=""/>
            <w:enabled/>
            <w:calcOnExit w:val="0"/>
            <w:textInput/>
          </w:ffData>
        </w:fldChar>
      </w:r>
      <w:r w:rsidR="006E0575">
        <w:instrText xml:space="preserve"> FORMTEXT </w:instrText>
      </w:r>
      <w:r w:rsidR="0072799A">
        <w:fldChar w:fldCharType="separate"/>
      </w:r>
      <w:r w:rsidR="002B5955">
        <w:rPr>
          <w:noProof/>
        </w:rPr>
        <w:t> </w:t>
      </w:r>
      <w:r w:rsidR="002B5955">
        <w:rPr>
          <w:noProof/>
        </w:rPr>
        <w:t> </w:t>
      </w:r>
      <w:r w:rsidR="002B5955">
        <w:rPr>
          <w:noProof/>
        </w:rPr>
        <w:t> </w:t>
      </w:r>
      <w:r w:rsidR="002B5955">
        <w:rPr>
          <w:noProof/>
        </w:rPr>
        <w:t> </w:t>
      </w:r>
      <w:r w:rsidR="002B5955">
        <w:rPr>
          <w:noProof/>
        </w:rPr>
        <w:t> </w:t>
      </w:r>
      <w:r w:rsidR="0072799A">
        <w:fldChar w:fldCharType="end"/>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555CC">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5F5B3D" w:rsidRPr="006E0575" w:rsidRDefault="005F5B3D" w:rsidP="008A6065">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r w:rsidR="008A6065">
              <w:rPr>
                <w:sz w:val="16"/>
                <w:szCs w:val="16"/>
              </w:rPr>
              <w:br/>
            </w: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606F80" w:rsidRPr="006E0575" w:rsidRDefault="00606F80" w:rsidP="008A6065">
            <w:pPr>
              <w:spacing w:before="120" w:after="120" w:line="200" w:lineRule="exact"/>
              <w:ind w:right="-85"/>
              <w:rPr>
                <w:sz w:val="16"/>
                <w:szCs w:val="16"/>
              </w:rPr>
            </w:pPr>
            <w:r>
              <w:rPr>
                <w:sz w:val="16"/>
                <w:szCs w:val="16"/>
              </w:rPr>
              <w:t>BesGr.</w:t>
            </w:r>
            <w:r w:rsidR="008A6065">
              <w:rPr>
                <w:sz w:val="16"/>
                <w:szCs w:val="16"/>
              </w:rPr>
              <w:br/>
            </w:r>
            <w:r>
              <w:rPr>
                <w:sz w:val="16"/>
                <w:szCs w:val="16"/>
              </w:rPr>
              <w:t>oder</w:t>
            </w:r>
            <w:r w:rsidR="008A6065">
              <w:rPr>
                <w:sz w:val="16"/>
                <w:szCs w:val="16"/>
              </w:rPr>
              <w:br/>
            </w: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A7631D">
        <w:trPr>
          <w:trHeight w:val="567"/>
        </w:trPr>
        <w:tc>
          <w:tcPr>
            <w:tcW w:w="1814" w:type="dxa"/>
            <w:vAlign w:val="center"/>
          </w:tcPr>
          <w:p w:rsidR="005F5B3D" w:rsidRDefault="00DE0638" w:rsidP="00A7631D">
            <w:pPr>
              <w:rPr>
                <w:sz w:val="20"/>
              </w:rPr>
            </w:pPr>
            <w:r>
              <w:rPr>
                <w:sz w:val="20"/>
              </w:rPr>
              <w:t>51-00-16</w:t>
            </w:r>
          </w:p>
          <w:p w:rsidR="006C4093" w:rsidRPr="006E0575" w:rsidRDefault="006C4093" w:rsidP="00A7631D">
            <w:pPr>
              <w:rPr>
                <w:sz w:val="20"/>
              </w:rPr>
            </w:pPr>
            <w:r>
              <w:rPr>
                <w:sz w:val="20"/>
              </w:rPr>
              <w:t>51808000</w:t>
            </w:r>
          </w:p>
        </w:tc>
        <w:tc>
          <w:tcPr>
            <w:tcW w:w="1701" w:type="dxa"/>
            <w:vAlign w:val="center"/>
          </w:tcPr>
          <w:p w:rsidR="005F5B3D" w:rsidRPr="006E0575" w:rsidRDefault="00DE0638" w:rsidP="00A7631D">
            <w:pPr>
              <w:rPr>
                <w:sz w:val="20"/>
              </w:rPr>
            </w:pPr>
            <w:r>
              <w:rPr>
                <w:sz w:val="20"/>
              </w:rPr>
              <w:t>Jugendamt</w:t>
            </w:r>
          </w:p>
        </w:tc>
        <w:tc>
          <w:tcPr>
            <w:tcW w:w="794" w:type="dxa"/>
            <w:vAlign w:val="center"/>
          </w:tcPr>
          <w:p w:rsidR="00A7631D" w:rsidRPr="006E0575" w:rsidRDefault="00DE0638" w:rsidP="00A7631D">
            <w:pPr>
              <w:rPr>
                <w:sz w:val="20"/>
              </w:rPr>
            </w:pPr>
            <w:r>
              <w:rPr>
                <w:sz w:val="20"/>
              </w:rPr>
              <w:t>A11</w:t>
            </w:r>
          </w:p>
        </w:tc>
        <w:tc>
          <w:tcPr>
            <w:tcW w:w="1928" w:type="dxa"/>
            <w:vAlign w:val="center"/>
          </w:tcPr>
          <w:p w:rsidR="00A7631D" w:rsidRPr="006E0575" w:rsidRDefault="00A7631D" w:rsidP="00A7631D">
            <w:pPr>
              <w:rPr>
                <w:sz w:val="20"/>
              </w:rPr>
            </w:pPr>
            <w:r>
              <w:rPr>
                <w:sz w:val="20"/>
              </w:rPr>
              <w:t>Sachbearbeitung</w:t>
            </w:r>
          </w:p>
        </w:tc>
        <w:tc>
          <w:tcPr>
            <w:tcW w:w="737" w:type="dxa"/>
            <w:shd w:val="pct12" w:color="auto" w:fill="FFFFFF"/>
            <w:vAlign w:val="center"/>
          </w:tcPr>
          <w:p w:rsidR="005F5B3D" w:rsidRPr="006E0575" w:rsidRDefault="00063C07" w:rsidP="00A7631D">
            <w:pPr>
              <w:rPr>
                <w:sz w:val="20"/>
              </w:rPr>
            </w:pPr>
            <w:r>
              <w:rPr>
                <w:sz w:val="20"/>
              </w:rPr>
              <w:t>2,0</w:t>
            </w:r>
          </w:p>
        </w:tc>
        <w:tc>
          <w:tcPr>
            <w:tcW w:w="1134" w:type="dxa"/>
            <w:vAlign w:val="center"/>
          </w:tcPr>
          <w:p w:rsidR="005F5B3D" w:rsidRPr="006E0575" w:rsidRDefault="006C4093" w:rsidP="006C4093">
            <w:pPr>
              <w:jc w:val="center"/>
              <w:rPr>
                <w:sz w:val="20"/>
              </w:rPr>
            </w:pPr>
            <w:r>
              <w:rPr>
                <w:sz w:val="20"/>
              </w:rPr>
              <w:t>KW 01/2024</w:t>
            </w:r>
          </w:p>
        </w:tc>
        <w:tc>
          <w:tcPr>
            <w:tcW w:w="1417" w:type="dxa"/>
            <w:vAlign w:val="center"/>
          </w:tcPr>
          <w:p w:rsidR="005F5B3D" w:rsidRPr="006E0575" w:rsidRDefault="006C4093" w:rsidP="008A6065">
            <w:pPr>
              <w:jc w:val="right"/>
              <w:rPr>
                <w:sz w:val="20"/>
              </w:rPr>
            </w:pPr>
            <w:r>
              <w:rPr>
                <w:sz w:val="20"/>
              </w:rPr>
              <w:t>193</w:t>
            </w:r>
            <w:r w:rsidR="00063C07">
              <w:rPr>
                <w:sz w:val="20"/>
              </w:rPr>
              <w:t>.800 EUR</w:t>
            </w:r>
          </w:p>
        </w:tc>
      </w:tr>
    </w:tbl>
    <w:p w:rsidR="003D7B0B" w:rsidRPr="00884D6C" w:rsidRDefault="006E0575" w:rsidP="00B561D5">
      <w:pPr>
        <w:pStyle w:val="berschrift1"/>
        <w:spacing w:before="360"/>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36961" w:rsidRDefault="00436961" w:rsidP="00884D6C"/>
    <w:p w:rsidR="005A0595" w:rsidRDefault="00DE0638" w:rsidP="00884D6C">
      <w:r>
        <w:t xml:space="preserve">Für die Aufgaben der Dienststelle stehen 1,0 Stellen für Sachbearbeitung in EG 9a und </w:t>
      </w:r>
      <w:r w:rsidR="005A0595">
        <w:t>8,75</w:t>
      </w:r>
      <w:r>
        <w:t xml:space="preserve"> Stellen für Sachbearbeitung in A11, 3,0 Stellen</w:t>
      </w:r>
      <w:r w:rsidR="005A0595">
        <w:t xml:space="preserve"> für Teamleitung, 1,0 Stellen für</w:t>
      </w:r>
      <w:r w:rsidR="005A0595">
        <w:br/>
        <w:t>Leitung sowie 0,35 Sekretariatsstellen</w:t>
      </w:r>
      <w:r>
        <w:t xml:space="preserve"> zur Verfügung.</w:t>
      </w:r>
    </w:p>
    <w:p w:rsidR="005A0595" w:rsidRDefault="005A0595" w:rsidP="00884D6C"/>
    <w:p w:rsidR="00436961" w:rsidRDefault="00DE0638" w:rsidP="00436961">
      <w:r w:rsidRPr="00436961">
        <w:t xml:space="preserve">In diesem Antrag wird dargestellt, </w:t>
      </w:r>
      <w:r w:rsidR="00845170">
        <w:t xml:space="preserve">wie die Corona-Pandemie sich kurz- und mittelfristig auf die Dienststelle auswirkt und dass deshalb die Schaffung von </w:t>
      </w:r>
      <w:r w:rsidR="00845170">
        <w:rPr>
          <w:b/>
        </w:rPr>
        <w:t xml:space="preserve">2,0 Stellen </w:t>
      </w:r>
      <w:r w:rsidR="006C4093">
        <w:rPr>
          <w:b/>
        </w:rPr>
        <w:t xml:space="preserve">in A11 </w:t>
      </w:r>
      <w:r w:rsidR="00845170">
        <w:rPr>
          <w:b/>
        </w:rPr>
        <w:t xml:space="preserve">mit </w:t>
      </w:r>
      <w:r w:rsidR="006C4093">
        <w:rPr>
          <w:b/>
        </w:rPr>
        <w:t>KW</w:t>
      </w:r>
      <w:r w:rsidR="00845170">
        <w:rPr>
          <w:b/>
        </w:rPr>
        <w:t>-Vermerk</w:t>
      </w:r>
      <w:r w:rsidR="006C4093" w:rsidRPr="006C4093">
        <w:rPr>
          <w:b/>
        </w:rPr>
        <w:t xml:space="preserve"> 01/2024</w:t>
      </w:r>
      <w:r w:rsidR="006C4093">
        <w:t xml:space="preserve"> </w:t>
      </w:r>
      <w:r w:rsidR="00845170">
        <w:t>beantragt wird.</w:t>
      </w:r>
    </w:p>
    <w:p w:rsidR="003D7B0B" w:rsidRDefault="003D7B0B" w:rsidP="00B561D5">
      <w:pPr>
        <w:pStyle w:val="berschrift1"/>
        <w:spacing w:before="360"/>
      </w:pPr>
      <w:r>
        <w:t>2</w:t>
      </w:r>
      <w:r>
        <w:tab/>
        <w:t>Schaffun</w:t>
      </w:r>
      <w:r w:rsidRPr="00884D6C">
        <w:rPr>
          <w:u w:val="none"/>
        </w:rPr>
        <w:t>g</w:t>
      </w:r>
      <w:r>
        <w:t>skriterien</w:t>
      </w:r>
    </w:p>
    <w:p w:rsidR="003D7B0B" w:rsidRDefault="003D7B0B" w:rsidP="00884D6C"/>
    <w:p w:rsidR="00503889" w:rsidRDefault="00845170" w:rsidP="00845170">
      <w:pPr>
        <w:rPr>
          <w:rFonts w:cs="Arial"/>
        </w:rPr>
      </w:pPr>
      <w:r w:rsidRPr="002F3BDA">
        <w:rPr>
          <w:rFonts w:cs="Arial"/>
        </w:rPr>
        <w:t xml:space="preserve">Die Kriterien zur Schaffung </w:t>
      </w:r>
      <w:r>
        <w:rPr>
          <w:rFonts w:cs="Arial"/>
        </w:rPr>
        <w:t>von zu</w:t>
      </w:r>
      <w:r w:rsidR="00063C07">
        <w:rPr>
          <w:rFonts w:cs="Arial"/>
        </w:rPr>
        <w:t>sätzlichen Stellen sind erfüllt. Es kam zur erheblichen Arbeitsvermehrung aus sonstigen Gründen, namentlich der COVID-19 Pandemie. Die Mehrbelastung wird unter Ziffer 3, Anlass detailliert beschrieben und kann nicht durch technische oder organisatorische Maßnahmen kompensiert werden.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6C65C0" w:rsidRDefault="006C65C0" w:rsidP="006C65C0"/>
    <w:p w:rsidR="006C65C0" w:rsidRDefault="006C65C0" w:rsidP="006C65C0">
      <w:r>
        <w:t>Die COVID-19 Pandemie hat zu einem erheblichen Aufgabenzuwachs bei der Dienststelle geführt. Die einschlägigen Landesverordnungen hatten Betriebseinschränkungen oder gar Betriebsschließungen für alle freien Träger der Jugendhilfe zur Folge.</w:t>
      </w:r>
    </w:p>
    <w:p w:rsidR="006C65C0" w:rsidRDefault="006C65C0" w:rsidP="006C65C0"/>
    <w:p w:rsidR="00433DE0" w:rsidRDefault="00551EE6" w:rsidP="006C65C0">
      <w:r>
        <w:t xml:space="preserve">Dies hat </w:t>
      </w:r>
      <w:r w:rsidR="00433DE0">
        <w:t xml:space="preserve">die kontinuierliche Erfassung der laufend, zeitweise sogar täglich neuen Sach- und Rechtslage sowie die Strukturierung der relevanten Informationen </w:t>
      </w:r>
      <w:r>
        <w:t>nötig gemacht</w:t>
      </w:r>
      <w:r w:rsidR="00433DE0">
        <w:t>. Einerseits muss</w:t>
      </w:r>
      <w:r>
        <w:t>te</w:t>
      </w:r>
      <w:r w:rsidR="00433DE0">
        <w:t xml:space="preserve"> eine proaktive Information der Träger erfolgen, andererseits auch ein hoher individueller Beratungsbedarf bedient werden. In beiden Aufgaben </w:t>
      </w:r>
      <w:r>
        <w:t>verbirgt sich</w:t>
      </w:r>
      <w:r w:rsidR="00433DE0">
        <w:t xml:space="preserve"> ein hoher zeitlicher Aufwand, angefangen beim Aufbau eines E-Mail-Verteilers über die Erstellung von Informationsunterlagen bis hin zur Bewertung von Einzelfällen.</w:t>
      </w:r>
    </w:p>
    <w:p w:rsidR="00433DE0" w:rsidRDefault="00433DE0" w:rsidP="006C65C0"/>
    <w:p w:rsidR="00536D71" w:rsidRDefault="00433DE0" w:rsidP="006C65C0">
      <w:r>
        <w:lastRenderedPageBreak/>
        <w:t xml:space="preserve">Der Informations- und Beratungsbedarf war insbesondere im Bereich der Kindertageseinrichtungen hoch. </w:t>
      </w:r>
      <w:r w:rsidR="00536D71">
        <w:t>Die 174 freien Träger in diesem Bereich waren nicht nur von den Betriebsschließungen betroffen, sondern auch für die Sicherstellung der Notbetreuung verantwortlich. Durch die laufende und meist kurzfristige Veränderung der damit einhergehenden Rahmenbedingungen war eine hohe Verunsicherung bei allen freien Trägern – von kleinen Elterninitiativen in der Form eines e. V. bis hin zu deutschlandweit tätigen privat-gewerblichen Trägern in der Form einer gemeinnützigen GmbH – zu verzeichnen.</w:t>
      </w:r>
    </w:p>
    <w:p w:rsidR="00536D71" w:rsidRDefault="00536D71" w:rsidP="006C65C0"/>
    <w:p w:rsidR="00551EE6" w:rsidRDefault="00551EE6" w:rsidP="006C65C0">
      <w:r>
        <w:t xml:space="preserve">Neben der allgemeinen Information und individuellen Beratung </w:t>
      </w:r>
      <w:r w:rsidR="00536D71">
        <w:t xml:space="preserve">der freien Träger </w:t>
      </w:r>
      <w:r>
        <w:t xml:space="preserve">waren </w:t>
      </w:r>
      <w:r w:rsidR="00536D71">
        <w:t>im Zusammenhang</w:t>
      </w:r>
      <w:r>
        <w:t xml:space="preserve"> </w:t>
      </w:r>
      <w:r w:rsidR="00536D71">
        <w:t xml:space="preserve">mit der Notbetreuung </w:t>
      </w:r>
      <w:r>
        <w:t>noch weitere Aufgaben vo</w:t>
      </w:r>
      <w:r w:rsidR="00536D71">
        <w:t>n der Dienststelle zu erbringen:</w:t>
      </w:r>
      <w:r>
        <w:t xml:space="preserve"> Zunächst war </w:t>
      </w:r>
      <w:r w:rsidR="00536D71">
        <w:t>eine</w:t>
      </w:r>
      <w:r>
        <w:t xml:space="preserve"> laufende Abstimmung des </w:t>
      </w:r>
      <w:r w:rsidR="00536D71">
        <w:t xml:space="preserve">weiteren Verfahrens </w:t>
      </w:r>
      <w:r>
        <w:t xml:space="preserve">mit dem städtischen Träger notwendig, um eine Gleichbehandlung von allen Trägern und gleiche Zugangsvoraussetzungen für alle Eltern zu gewährleisten. </w:t>
      </w:r>
      <w:r w:rsidR="00536D71">
        <w:t>Zudem</w:t>
      </w:r>
      <w:r>
        <w:t xml:space="preserve"> musste die Entwicklung und laufende Anpassung der Infrastruktur für die formelle Abwicklung der Notbetreuung erfolgen, beispielsweise durch die Bereitstellung von Anmeldeformularen oder Vordrucken für Arbeitgeber-Bescheinigungen.</w:t>
      </w:r>
    </w:p>
    <w:p w:rsidR="00551EE6" w:rsidRDefault="00551EE6" w:rsidP="006C65C0"/>
    <w:p w:rsidR="006C4093" w:rsidRDefault="000C5905" w:rsidP="006C65C0">
      <w:r>
        <w:t xml:space="preserve">Die Beschlüsse des Gemeinderats, die Erstattung von Elterngebühren bei den freien Trägern im Falle von Schließungen aufgrund der Landesverordnung (GRDrs 262/2020, GRDrs 359/2020) oder von infektionsschutzbedingten Schließungen (GRDrs 768/2020) vorzunehmen, haben den Aufbau eines neuen Verfahrens erfordert. Dazu gehörte die Entwicklung von Abrechnungsformularen, Berechnungsblättern und Bescheiden sowie die tatsächliche Bearbeitung der Erstattungsansprüche. Im Ergebnis handelte es sich dabei um rund </w:t>
      </w:r>
      <w:r w:rsidR="00503889">
        <w:t>900</w:t>
      </w:r>
      <w:r>
        <w:t xml:space="preserve"> zusätzliche Vo</w:t>
      </w:r>
      <w:r w:rsidR="00503889">
        <w:t xml:space="preserve">rgänge für Erstattungen bei Schließungen aufgrund der Landesverordnung; die Erstattungen bei infektionsschutzbedingten Schließungen werden derzeit und zukünftig bedarfsmäßig zu bearbeiten </w:t>
      </w:r>
      <w:r w:rsidR="00536D71">
        <w:t>sind</w:t>
      </w:r>
      <w:r w:rsidR="00503889">
        <w:t>.</w:t>
      </w:r>
    </w:p>
    <w:p w:rsidR="006C4093" w:rsidRDefault="006C4093" w:rsidP="006C65C0"/>
    <w:p w:rsidR="00F51226" w:rsidRDefault="006C4093" w:rsidP="006C65C0">
      <w:r>
        <w:t xml:space="preserve">Es ist davon auszugehen, dass </w:t>
      </w:r>
      <w:r w:rsidR="00536D71">
        <w:t xml:space="preserve">es durch die COVID-19 Pandemie </w:t>
      </w:r>
      <w:r w:rsidR="00F51226">
        <w:t>mindestens</w:t>
      </w:r>
      <w:r w:rsidR="00536D71">
        <w:t xml:space="preserve"> noch im nächsten dreiviertel Jahr zu Betriebseinschränkungen oder -schließungen bei den freien Trägern</w:t>
      </w:r>
      <w:r w:rsidR="00F51226">
        <w:t xml:space="preserve"> kommt. Die Dienststelle ist demnach zumindest für diesen Zeitraum noch mit daraus resultierenden zusätzlichen Aufgaben konfrontiert, deren Bearbeitung aufgrund der großen Menge sicherlich noch bis in das Jahr 2022 andauert. Diese Aufgaben sind dabei stets priorisiert zu bearbeiten.</w:t>
      </w:r>
    </w:p>
    <w:p w:rsidR="00F51226" w:rsidRDefault="00F51226" w:rsidP="006C65C0"/>
    <w:p w:rsidR="00BC1C8E" w:rsidRDefault="00F51226" w:rsidP="006C65C0">
      <w:r>
        <w:t>Diese Priorisierung hat zu Beginn der COVID-19 Pandemie dazu geführt, dass alle Mitarbeiter*innen der Dienststelle für rund 2 Monate ausschließlich mit diesen Aufgaben befasst waren. Dieser Mehraufwand konnte durch organisatorische Maßnahmen nicht kompensiert werden, weshalb die eigentlichen Aufgaben der Dienststelle zu dieser Zeit nicht erledigt werden konnten. Dies hat bereits bis zum jetzigen Zeitpunkt zu massiven Arbeitsrückständen geführt, was untenstehend exemplarisch anhand der Bearbeitungsdauer bei den Bewilligungen für 2020 verdeutlicht wird. Durch die perspektivisch noch weiter anfallenden Zusatzaufgaben führen dabei zunächst zu einem weiteren Aufbau von Arbeitsrückständen.</w:t>
      </w:r>
    </w:p>
    <w:p w:rsidR="00F51226" w:rsidRDefault="00F51226" w:rsidP="006C65C0"/>
    <w:p w:rsidR="00503889" w:rsidRPr="009042CB" w:rsidRDefault="00503889" w:rsidP="00503889">
      <w:pPr>
        <w:jc w:val="center"/>
        <w:rPr>
          <w:rFonts w:cs="Arial"/>
          <w:b/>
        </w:rPr>
      </w:pPr>
      <w:r>
        <w:rPr>
          <w:rFonts w:cs="Arial"/>
          <w:b/>
        </w:rPr>
        <w:t xml:space="preserve">Bearbeitungsstände </w:t>
      </w:r>
      <w:r w:rsidR="00DA4363">
        <w:rPr>
          <w:rFonts w:cs="Arial"/>
          <w:b/>
        </w:rPr>
        <w:t xml:space="preserve">der Bewilligungen für </w:t>
      </w:r>
      <w:r>
        <w:rPr>
          <w:rFonts w:cs="Arial"/>
          <w:b/>
        </w:rPr>
        <w:t>2020</w:t>
      </w:r>
    </w:p>
    <w:p w:rsidR="00503889" w:rsidRDefault="00503889" w:rsidP="00503889"/>
    <w:tbl>
      <w:tblPr>
        <w:tblStyle w:val="Tabellenraster"/>
        <w:tblW w:w="6096" w:type="dxa"/>
        <w:jc w:val="center"/>
        <w:tblLayout w:type="fixed"/>
        <w:tblLook w:val="04A0" w:firstRow="1" w:lastRow="0" w:firstColumn="1" w:lastColumn="0" w:noHBand="0" w:noVBand="1"/>
      </w:tblPr>
      <w:tblGrid>
        <w:gridCol w:w="4387"/>
        <w:gridCol w:w="1709"/>
      </w:tblGrid>
      <w:tr w:rsidR="00DA4363" w:rsidTr="00DA4363">
        <w:trPr>
          <w:trHeight w:val="340"/>
          <w:jc w:val="center"/>
        </w:trPr>
        <w:tc>
          <w:tcPr>
            <w:tcW w:w="4387" w:type="dxa"/>
            <w:vMerge w:val="restart"/>
            <w:tcBorders>
              <w:right w:val="single" w:sz="4" w:space="0" w:color="auto"/>
            </w:tcBorders>
            <w:vAlign w:val="center"/>
          </w:tcPr>
          <w:p w:rsidR="00DA4363" w:rsidRPr="009042CB" w:rsidRDefault="00DA4363" w:rsidP="001542F0">
            <w:pPr>
              <w:jc w:val="center"/>
              <w:rPr>
                <w:rFonts w:ascii="Arial" w:hAnsi="Arial" w:cs="Arial"/>
              </w:rPr>
            </w:pPr>
            <w:r w:rsidRPr="009042CB">
              <w:rPr>
                <w:rFonts w:ascii="Arial" w:hAnsi="Arial" w:cs="Arial"/>
              </w:rPr>
              <w:t>Förderbereich</w:t>
            </w:r>
          </w:p>
        </w:tc>
        <w:tc>
          <w:tcPr>
            <w:tcW w:w="1709" w:type="dxa"/>
            <w:tcBorders>
              <w:left w:val="single" w:sz="4" w:space="0" w:color="auto"/>
            </w:tcBorders>
            <w:shd w:val="clear" w:color="auto" w:fill="auto"/>
            <w:vAlign w:val="center"/>
          </w:tcPr>
          <w:p w:rsidR="00DA4363" w:rsidRPr="00BB22BB" w:rsidRDefault="00DA4363" w:rsidP="001542F0">
            <w:pPr>
              <w:jc w:val="center"/>
              <w:rPr>
                <w:rFonts w:ascii="Arial" w:hAnsi="Arial" w:cs="Arial"/>
                <w:highlight w:val="yellow"/>
              </w:rPr>
            </w:pPr>
            <w:r w:rsidRPr="00DA4363">
              <w:rPr>
                <w:rFonts w:ascii="Arial" w:hAnsi="Arial" w:cs="Arial"/>
              </w:rPr>
              <w:t>2020</w:t>
            </w:r>
          </w:p>
        </w:tc>
      </w:tr>
      <w:tr w:rsidR="00DA4363" w:rsidTr="00DA4363">
        <w:trPr>
          <w:trHeight w:val="680"/>
          <w:jc w:val="center"/>
        </w:trPr>
        <w:tc>
          <w:tcPr>
            <w:tcW w:w="4387" w:type="dxa"/>
            <w:vMerge/>
            <w:tcBorders>
              <w:right w:val="single" w:sz="4" w:space="0" w:color="auto"/>
            </w:tcBorders>
          </w:tcPr>
          <w:p w:rsidR="00DA4363" w:rsidRPr="009042CB" w:rsidRDefault="00DA4363" w:rsidP="001542F0">
            <w:pPr>
              <w:rPr>
                <w:rFonts w:ascii="Arial" w:hAnsi="Arial" w:cs="Arial"/>
              </w:rPr>
            </w:pPr>
          </w:p>
        </w:tc>
        <w:tc>
          <w:tcPr>
            <w:tcW w:w="1709" w:type="dxa"/>
            <w:vAlign w:val="center"/>
          </w:tcPr>
          <w:p w:rsidR="00DA4363" w:rsidRPr="009042CB" w:rsidRDefault="00DA4363" w:rsidP="001542F0">
            <w:pPr>
              <w:jc w:val="center"/>
              <w:rPr>
                <w:rFonts w:ascii="Arial" w:hAnsi="Arial" w:cs="Arial"/>
                <w:sz w:val="18"/>
              </w:rPr>
            </w:pPr>
            <w:r w:rsidRPr="009042CB">
              <w:rPr>
                <w:rFonts w:ascii="Arial" w:hAnsi="Arial" w:cs="Arial"/>
                <w:sz w:val="18"/>
              </w:rPr>
              <w:t>Bearbeitungs-dauer</w:t>
            </w:r>
            <w:r w:rsidRPr="008F6F7D">
              <w:rPr>
                <w:rFonts w:ascii="Arial" w:hAnsi="Arial" w:cs="Arial"/>
                <w:sz w:val="18"/>
                <w:vertAlign w:val="superscript"/>
              </w:rPr>
              <w:t>1</w:t>
            </w:r>
            <w:r w:rsidRPr="009042CB">
              <w:rPr>
                <w:rFonts w:ascii="Arial" w:hAnsi="Arial" w:cs="Arial"/>
                <w:sz w:val="18"/>
              </w:rPr>
              <w:t xml:space="preserve"> im Ø</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Arbeitsprojekte</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262,82 Tage</w:t>
            </w:r>
          </w:p>
        </w:tc>
      </w:tr>
      <w:tr w:rsidR="00DA4363" w:rsidTr="00DA4363">
        <w:trPr>
          <w:jc w:val="center"/>
        </w:trPr>
        <w:tc>
          <w:tcPr>
            <w:tcW w:w="4387" w:type="dxa"/>
            <w:tcBorders>
              <w:right w:val="single" w:sz="4" w:space="0" w:color="auto"/>
            </w:tcBorders>
          </w:tcPr>
          <w:p w:rsidR="00DA4363" w:rsidRPr="00DA4363" w:rsidRDefault="00DA4363" w:rsidP="001542F0">
            <w:pPr>
              <w:rPr>
                <w:rFonts w:ascii="Arial" w:hAnsi="Arial" w:cs="Arial"/>
                <w:sz w:val="22"/>
              </w:rPr>
            </w:pPr>
            <w:r w:rsidRPr="00DA4363">
              <w:rPr>
                <w:rFonts w:ascii="Arial" w:hAnsi="Arial" w:cs="Arial"/>
                <w:sz w:val="22"/>
              </w:rPr>
              <w:t>Beratungsangebote</w:t>
            </w:r>
          </w:p>
        </w:tc>
        <w:tc>
          <w:tcPr>
            <w:tcW w:w="1709" w:type="dxa"/>
            <w:vAlign w:val="center"/>
          </w:tcPr>
          <w:p w:rsidR="00DA4363" w:rsidRPr="00DA4363" w:rsidRDefault="00DA4363" w:rsidP="001542F0">
            <w:pPr>
              <w:jc w:val="right"/>
              <w:rPr>
                <w:rFonts w:ascii="Arial" w:hAnsi="Arial" w:cs="Arial"/>
                <w:sz w:val="22"/>
              </w:rPr>
            </w:pPr>
            <w:r w:rsidRPr="00DA4363">
              <w:rPr>
                <w:rFonts w:ascii="Arial" w:hAnsi="Arial" w:cs="Arial"/>
                <w:sz w:val="22"/>
              </w:rPr>
              <w:t>221,88 Tage</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lastRenderedPageBreak/>
              <w:t>Begleiteter Umgang</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232,25 Tage</w:t>
            </w:r>
          </w:p>
        </w:tc>
      </w:tr>
      <w:tr w:rsidR="00DA4363" w:rsidTr="00DA4363">
        <w:trPr>
          <w:jc w:val="center"/>
        </w:trPr>
        <w:tc>
          <w:tcPr>
            <w:tcW w:w="4387" w:type="dxa"/>
            <w:tcBorders>
              <w:right w:val="single" w:sz="4" w:space="0" w:color="auto"/>
            </w:tcBorders>
          </w:tcPr>
          <w:p w:rsidR="00DA4363" w:rsidRPr="00DA4363" w:rsidRDefault="00DA4363" w:rsidP="001542F0">
            <w:pPr>
              <w:rPr>
                <w:rFonts w:ascii="Arial" w:hAnsi="Arial" w:cs="Arial"/>
                <w:sz w:val="22"/>
              </w:rPr>
            </w:pPr>
            <w:r w:rsidRPr="00DA4363">
              <w:rPr>
                <w:rFonts w:ascii="Arial" w:hAnsi="Arial" w:cs="Arial"/>
                <w:sz w:val="22"/>
              </w:rPr>
              <w:t>Fanprojekt</w:t>
            </w:r>
          </w:p>
        </w:tc>
        <w:tc>
          <w:tcPr>
            <w:tcW w:w="1709" w:type="dxa"/>
            <w:vAlign w:val="center"/>
          </w:tcPr>
          <w:p w:rsidR="00DA4363" w:rsidRPr="00DA4363" w:rsidRDefault="00DA4363" w:rsidP="001542F0">
            <w:pPr>
              <w:jc w:val="right"/>
              <w:rPr>
                <w:rFonts w:ascii="Arial" w:hAnsi="Arial" w:cs="Arial"/>
                <w:sz w:val="22"/>
              </w:rPr>
            </w:pPr>
            <w:r w:rsidRPr="00DA4363">
              <w:rPr>
                <w:rFonts w:ascii="Arial" w:hAnsi="Arial" w:cs="Arial"/>
                <w:sz w:val="22"/>
              </w:rPr>
              <w:t>89,00 Tage</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Frühe Hilfen</w:t>
            </w:r>
          </w:p>
        </w:tc>
        <w:tc>
          <w:tcPr>
            <w:tcW w:w="1709" w:type="dxa"/>
            <w:shd w:val="clear" w:color="auto" w:fill="D9D9D9" w:themeFill="background1" w:themeFillShade="D9"/>
          </w:tcPr>
          <w:p w:rsidR="00DA4363" w:rsidRPr="00DA4363" w:rsidRDefault="00DA4363" w:rsidP="001542F0">
            <w:pPr>
              <w:jc w:val="center"/>
              <w:rPr>
                <w:rFonts w:ascii="Arial" w:hAnsi="Arial" w:cs="Arial"/>
                <w:sz w:val="22"/>
              </w:rPr>
            </w:pPr>
            <w:r w:rsidRPr="00DA4363">
              <w:rPr>
                <w:rFonts w:ascii="Arial" w:hAnsi="Arial" w:cs="Arial"/>
                <w:sz w:val="22"/>
              </w:rPr>
              <w:t>-</w:t>
            </w:r>
          </w:p>
        </w:tc>
      </w:tr>
      <w:tr w:rsidR="00DA4363" w:rsidTr="00DA4363">
        <w:trPr>
          <w:jc w:val="center"/>
        </w:trPr>
        <w:tc>
          <w:tcPr>
            <w:tcW w:w="4387" w:type="dxa"/>
            <w:tcBorders>
              <w:right w:val="single" w:sz="4" w:space="0" w:color="auto"/>
            </w:tcBorders>
          </w:tcPr>
          <w:p w:rsidR="00DA4363" w:rsidRPr="00DA4363" w:rsidRDefault="00DA4363" w:rsidP="001542F0">
            <w:pPr>
              <w:rPr>
                <w:rFonts w:ascii="Arial" w:hAnsi="Arial" w:cs="Arial"/>
                <w:sz w:val="22"/>
              </w:rPr>
            </w:pPr>
            <w:r w:rsidRPr="00DA4363">
              <w:rPr>
                <w:rFonts w:ascii="Arial" w:hAnsi="Arial" w:cs="Arial"/>
                <w:sz w:val="22"/>
              </w:rPr>
              <w:t>Haus der Familie</w:t>
            </w:r>
          </w:p>
        </w:tc>
        <w:tc>
          <w:tcPr>
            <w:tcW w:w="1709" w:type="dxa"/>
            <w:vAlign w:val="center"/>
          </w:tcPr>
          <w:p w:rsidR="00DA4363" w:rsidRPr="00DA4363" w:rsidRDefault="00DA4363" w:rsidP="001542F0">
            <w:pPr>
              <w:jc w:val="right"/>
              <w:rPr>
                <w:rFonts w:ascii="Arial" w:hAnsi="Arial" w:cs="Arial"/>
                <w:sz w:val="22"/>
              </w:rPr>
            </w:pPr>
            <w:r w:rsidRPr="00DA4363">
              <w:rPr>
                <w:rFonts w:ascii="Arial" w:hAnsi="Arial" w:cs="Arial"/>
                <w:sz w:val="22"/>
              </w:rPr>
              <w:t>16,00 Tage</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Pädagogisch Betreute Spielplätze</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140,68 Tage</w:t>
            </w:r>
          </w:p>
        </w:tc>
      </w:tr>
      <w:tr w:rsidR="00DA4363" w:rsidTr="00DA4363">
        <w:trPr>
          <w:jc w:val="center"/>
        </w:trPr>
        <w:tc>
          <w:tcPr>
            <w:tcW w:w="4387" w:type="dxa"/>
            <w:tcBorders>
              <w:right w:val="single" w:sz="4" w:space="0" w:color="auto"/>
            </w:tcBorders>
            <w:shd w:val="clear" w:color="auto" w:fill="auto"/>
          </w:tcPr>
          <w:p w:rsidR="00DA4363" w:rsidRPr="00DA4363" w:rsidRDefault="00DA4363" w:rsidP="001542F0">
            <w:pPr>
              <w:rPr>
                <w:rFonts w:ascii="Arial" w:hAnsi="Arial" w:cs="Arial"/>
                <w:sz w:val="22"/>
              </w:rPr>
            </w:pPr>
            <w:r w:rsidRPr="00DA4363">
              <w:rPr>
                <w:rFonts w:ascii="Arial" w:hAnsi="Arial" w:cs="Arial"/>
                <w:sz w:val="22"/>
              </w:rPr>
              <w:t>Jugendfreizeitstätten</w:t>
            </w:r>
          </w:p>
        </w:tc>
        <w:tc>
          <w:tcPr>
            <w:tcW w:w="1709" w:type="dxa"/>
            <w:shd w:val="clear" w:color="auto" w:fill="auto"/>
            <w:vAlign w:val="center"/>
          </w:tcPr>
          <w:p w:rsidR="00DA4363" w:rsidRPr="00DA4363" w:rsidRDefault="00DA4363" w:rsidP="001542F0">
            <w:pPr>
              <w:jc w:val="right"/>
              <w:rPr>
                <w:rFonts w:ascii="Arial" w:hAnsi="Arial" w:cs="Arial"/>
                <w:sz w:val="22"/>
              </w:rPr>
            </w:pPr>
            <w:r w:rsidRPr="00DA4363">
              <w:rPr>
                <w:rFonts w:ascii="Arial" w:hAnsi="Arial" w:cs="Arial"/>
                <w:sz w:val="22"/>
              </w:rPr>
              <w:t>150,70 Tage</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Stuttgarter Jugendhaus gGmbH - Bau</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308,00 Tage</w:t>
            </w:r>
          </w:p>
        </w:tc>
      </w:tr>
      <w:tr w:rsidR="00DA4363" w:rsidTr="00DA4363">
        <w:trPr>
          <w:jc w:val="center"/>
        </w:trPr>
        <w:tc>
          <w:tcPr>
            <w:tcW w:w="4387" w:type="dxa"/>
            <w:tcBorders>
              <w:right w:val="single" w:sz="4" w:space="0" w:color="auto"/>
            </w:tcBorders>
            <w:shd w:val="clear" w:color="auto" w:fill="auto"/>
          </w:tcPr>
          <w:p w:rsidR="00DA4363" w:rsidRPr="00DA4363" w:rsidRDefault="00DA4363" w:rsidP="001542F0">
            <w:pPr>
              <w:rPr>
                <w:rFonts w:ascii="Arial" w:hAnsi="Arial" w:cs="Arial"/>
                <w:sz w:val="22"/>
              </w:rPr>
            </w:pPr>
            <w:r w:rsidRPr="00DA4363">
              <w:rPr>
                <w:rFonts w:ascii="Arial" w:hAnsi="Arial" w:cs="Arial"/>
                <w:sz w:val="22"/>
              </w:rPr>
              <w:t>Stuttgarter Jugendhaus gGmbH</w:t>
            </w:r>
          </w:p>
        </w:tc>
        <w:tc>
          <w:tcPr>
            <w:tcW w:w="1709" w:type="dxa"/>
            <w:shd w:val="clear" w:color="auto" w:fill="auto"/>
          </w:tcPr>
          <w:p w:rsidR="00DA4363" w:rsidRPr="00DA4363" w:rsidRDefault="00DA4363" w:rsidP="001542F0">
            <w:pPr>
              <w:jc w:val="center"/>
              <w:rPr>
                <w:rFonts w:ascii="Arial" w:hAnsi="Arial" w:cs="Arial"/>
                <w:sz w:val="22"/>
              </w:rPr>
            </w:pPr>
            <w:r w:rsidRPr="00DA4363">
              <w:rPr>
                <w:rFonts w:ascii="Arial" w:hAnsi="Arial" w:cs="Arial"/>
                <w:sz w:val="22"/>
              </w:rPr>
              <w:t>-</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Jugendsozialarbeit</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206,00 Tage</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Kinder- und Familienzentren</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248,13 Tage</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Mobile Jugendarbeiter</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180,00 Tage</w:t>
            </w:r>
          </w:p>
        </w:tc>
      </w:tr>
      <w:tr w:rsidR="00DA4363" w:rsidTr="00DA4363">
        <w:trPr>
          <w:jc w:val="center"/>
        </w:trPr>
        <w:tc>
          <w:tcPr>
            <w:tcW w:w="4387" w:type="dxa"/>
            <w:tcBorders>
              <w:right w:val="single" w:sz="4" w:space="0" w:color="auto"/>
            </w:tcBorders>
            <w:shd w:val="clear" w:color="auto" w:fill="auto"/>
          </w:tcPr>
          <w:p w:rsidR="00DA4363" w:rsidRPr="00DA4363" w:rsidRDefault="00DA4363" w:rsidP="001542F0">
            <w:pPr>
              <w:rPr>
                <w:rFonts w:ascii="Arial" w:hAnsi="Arial" w:cs="Arial"/>
                <w:sz w:val="22"/>
              </w:rPr>
            </w:pPr>
            <w:r w:rsidRPr="00DA4363">
              <w:rPr>
                <w:rFonts w:ascii="Arial" w:hAnsi="Arial" w:cs="Arial"/>
                <w:sz w:val="22"/>
              </w:rPr>
              <w:t>Mentorenprogramme</w:t>
            </w:r>
          </w:p>
        </w:tc>
        <w:tc>
          <w:tcPr>
            <w:tcW w:w="1709" w:type="dxa"/>
            <w:shd w:val="clear" w:color="auto" w:fill="auto"/>
            <w:vAlign w:val="center"/>
          </w:tcPr>
          <w:p w:rsidR="00DA4363" w:rsidRPr="00DA4363" w:rsidRDefault="00DA4363" w:rsidP="001542F0">
            <w:pPr>
              <w:jc w:val="right"/>
              <w:rPr>
                <w:rFonts w:ascii="Arial" w:hAnsi="Arial" w:cs="Arial"/>
                <w:sz w:val="22"/>
              </w:rPr>
            </w:pPr>
            <w:r w:rsidRPr="00DA4363">
              <w:rPr>
                <w:rFonts w:ascii="Arial" w:hAnsi="Arial" w:cs="Arial"/>
                <w:sz w:val="22"/>
              </w:rPr>
              <w:t>210,80 Tage</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Mütterwohnheim</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123,00 Tage</w:t>
            </w:r>
          </w:p>
        </w:tc>
      </w:tr>
      <w:tr w:rsidR="00DA4363" w:rsidTr="00DA4363">
        <w:trPr>
          <w:jc w:val="center"/>
        </w:trPr>
        <w:tc>
          <w:tcPr>
            <w:tcW w:w="4387" w:type="dxa"/>
            <w:tcBorders>
              <w:right w:val="single" w:sz="4" w:space="0" w:color="auto"/>
            </w:tcBorders>
            <w:shd w:val="clear" w:color="auto" w:fill="auto"/>
          </w:tcPr>
          <w:p w:rsidR="00DA4363" w:rsidRPr="00DA4363" w:rsidRDefault="00DA4363" w:rsidP="001542F0">
            <w:pPr>
              <w:rPr>
                <w:rFonts w:ascii="Arial" w:hAnsi="Arial" w:cs="Arial"/>
                <w:sz w:val="22"/>
              </w:rPr>
            </w:pPr>
            <w:r w:rsidRPr="00DA4363">
              <w:rPr>
                <w:rFonts w:ascii="Arial" w:hAnsi="Arial" w:cs="Arial"/>
                <w:sz w:val="22"/>
              </w:rPr>
              <w:t>Offene Angebote</w:t>
            </w:r>
          </w:p>
        </w:tc>
        <w:tc>
          <w:tcPr>
            <w:tcW w:w="1709" w:type="dxa"/>
            <w:shd w:val="clear" w:color="auto" w:fill="auto"/>
            <w:vAlign w:val="center"/>
          </w:tcPr>
          <w:p w:rsidR="00DA4363" w:rsidRPr="00DA4363" w:rsidRDefault="00DA4363" w:rsidP="001542F0">
            <w:pPr>
              <w:jc w:val="right"/>
              <w:rPr>
                <w:rFonts w:ascii="Arial" w:hAnsi="Arial" w:cs="Arial"/>
                <w:sz w:val="22"/>
              </w:rPr>
            </w:pPr>
            <w:r w:rsidRPr="00DA4363">
              <w:rPr>
                <w:rFonts w:ascii="Arial" w:hAnsi="Arial" w:cs="Arial"/>
                <w:sz w:val="22"/>
              </w:rPr>
              <w:t>245,86 Tage</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Stadtteil- und Familienzentren</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235,38 Tage</w:t>
            </w:r>
          </w:p>
        </w:tc>
      </w:tr>
      <w:tr w:rsidR="00DA4363" w:rsidTr="00DA4363">
        <w:trPr>
          <w:jc w:val="center"/>
        </w:trPr>
        <w:tc>
          <w:tcPr>
            <w:tcW w:w="4387" w:type="dxa"/>
            <w:tcBorders>
              <w:right w:val="single" w:sz="4" w:space="0" w:color="auto"/>
            </w:tcBorders>
            <w:shd w:val="clear" w:color="auto" w:fill="auto"/>
          </w:tcPr>
          <w:p w:rsidR="00DA4363" w:rsidRPr="00DA4363" w:rsidRDefault="00DA4363" w:rsidP="001542F0">
            <w:pPr>
              <w:rPr>
                <w:rFonts w:ascii="Arial" w:hAnsi="Arial" w:cs="Arial"/>
                <w:sz w:val="22"/>
              </w:rPr>
            </w:pPr>
            <w:r w:rsidRPr="00DA4363">
              <w:rPr>
                <w:rFonts w:ascii="Arial" w:hAnsi="Arial" w:cs="Arial"/>
                <w:sz w:val="22"/>
              </w:rPr>
              <w:t>Schulsozialarbeit</w:t>
            </w:r>
          </w:p>
        </w:tc>
        <w:tc>
          <w:tcPr>
            <w:tcW w:w="1709" w:type="dxa"/>
            <w:shd w:val="clear" w:color="auto" w:fill="auto"/>
            <w:vAlign w:val="center"/>
          </w:tcPr>
          <w:p w:rsidR="00DA4363" w:rsidRPr="00DA4363" w:rsidRDefault="00DA4363" w:rsidP="001542F0">
            <w:pPr>
              <w:jc w:val="right"/>
              <w:rPr>
                <w:rFonts w:ascii="Arial" w:hAnsi="Arial" w:cs="Arial"/>
                <w:sz w:val="22"/>
              </w:rPr>
            </w:pPr>
            <w:r w:rsidRPr="00DA4363">
              <w:rPr>
                <w:rFonts w:ascii="Arial" w:hAnsi="Arial" w:cs="Arial"/>
                <w:sz w:val="22"/>
              </w:rPr>
              <w:t>248,75 Tage</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Tagespflege</w:t>
            </w:r>
          </w:p>
        </w:tc>
        <w:tc>
          <w:tcPr>
            <w:tcW w:w="1709" w:type="dxa"/>
            <w:shd w:val="clear" w:color="auto" w:fill="D9D9D9" w:themeFill="background1" w:themeFillShade="D9"/>
          </w:tcPr>
          <w:p w:rsidR="00DA4363" w:rsidRPr="00DA4363" w:rsidRDefault="00DA4363" w:rsidP="001542F0">
            <w:pPr>
              <w:jc w:val="center"/>
              <w:rPr>
                <w:rFonts w:ascii="Arial" w:hAnsi="Arial" w:cs="Arial"/>
                <w:sz w:val="22"/>
              </w:rPr>
            </w:pPr>
            <w:r w:rsidRPr="00DA4363">
              <w:rPr>
                <w:rFonts w:ascii="Arial" w:hAnsi="Arial" w:cs="Arial"/>
                <w:sz w:val="22"/>
              </w:rPr>
              <w:t>-</w:t>
            </w:r>
          </w:p>
        </w:tc>
      </w:tr>
      <w:tr w:rsidR="00DA4363" w:rsidTr="00DA4363">
        <w:trPr>
          <w:jc w:val="center"/>
        </w:trPr>
        <w:tc>
          <w:tcPr>
            <w:tcW w:w="4387" w:type="dxa"/>
            <w:tcBorders>
              <w:right w:val="single" w:sz="4" w:space="0" w:color="auto"/>
            </w:tcBorders>
            <w:shd w:val="clear" w:color="auto" w:fill="auto"/>
          </w:tcPr>
          <w:p w:rsidR="00DA4363" w:rsidRPr="00DA4363" w:rsidRDefault="00DA4363" w:rsidP="001542F0">
            <w:pPr>
              <w:rPr>
                <w:rFonts w:ascii="Arial" w:hAnsi="Arial" w:cs="Arial"/>
                <w:sz w:val="22"/>
              </w:rPr>
            </w:pPr>
            <w:r w:rsidRPr="00DA4363">
              <w:rPr>
                <w:rFonts w:ascii="Arial" w:hAnsi="Arial" w:cs="Arial"/>
                <w:sz w:val="22"/>
              </w:rPr>
              <w:t>Unbegleitete Minderjährige Flüchtlinge</w:t>
            </w:r>
          </w:p>
        </w:tc>
        <w:tc>
          <w:tcPr>
            <w:tcW w:w="1709" w:type="dxa"/>
            <w:shd w:val="clear" w:color="auto" w:fill="auto"/>
          </w:tcPr>
          <w:p w:rsidR="00DA4363" w:rsidRPr="00DA4363" w:rsidRDefault="00DA4363" w:rsidP="001542F0">
            <w:pPr>
              <w:jc w:val="center"/>
              <w:rPr>
                <w:rFonts w:ascii="Arial" w:hAnsi="Arial" w:cs="Arial"/>
                <w:sz w:val="22"/>
              </w:rPr>
            </w:pPr>
            <w:r w:rsidRPr="00DA4363">
              <w:rPr>
                <w:rFonts w:ascii="Arial" w:hAnsi="Arial" w:cs="Arial"/>
                <w:sz w:val="22"/>
              </w:rPr>
              <w:t>-</w:t>
            </w:r>
          </w:p>
        </w:tc>
      </w:tr>
      <w:tr w:rsidR="00DA4363" w:rsidTr="00DA4363">
        <w:trPr>
          <w:jc w:val="center"/>
        </w:trPr>
        <w:tc>
          <w:tcPr>
            <w:tcW w:w="4387" w:type="dxa"/>
            <w:tcBorders>
              <w:right w:val="single" w:sz="4" w:space="0" w:color="auto"/>
            </w:tcBorders>
            <w:shd w:val="clear" w:color="auto" w:fill="D9D9D9" w:themeFill="background1" w:themeFillShade="D9"/>
          </w:tcPr>
          <w:p w:rsidR="00DA4363" w:rsidRPr="00DA4363" w:rsidRDefault="00DA4363" w:rsidP="001542F0">
            <w:pPr>
              <w:rPr>
                <w:rFonts w:ascii="Arial" w:hAnsi="Arial" w:cs="Arial"/>
                <w:sz w:val="22"/>
              </w:rPr>
            </w:pPr>
            <w:r w:rsidRPr="00DA4363">
              <w:rPr>
                <w:rFonts w:ascii="Arial" w:hAnsi="Arial" w:cs="Arial"/>
                <w:sz w:val="22"/>
              </w:rPr>
              <w:t>Jugendverbände</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sz w:val="22"/>
              </w:rPr>
            </w:pPr>
            <w:r w:rsidRPr="00DA4363">
              <w:rPr>
                <w:rFonts w:ascii="Arial" w:hAnsi="Arial" w:cs="Arial"/>
                <w:sz w:val="22"/>
              </w:rPr>
              <w:t>176,00 Tage</w:t>
            </w:r>
          </w:p>
        </w:tc>
      </w:tr>
      <w:tr w:rsidR="00DA4363" w:rsidTr="00DA4363">
        <w:trPr>
          <w:jc w:val="center"/>
        </w:trPr>
        <w:tc>
          <w:tcPr>
            <w:tcW w:w="4387" w:type="dxa"/>
            <w:tcBorders>
              <w:right w:val="single" w:sz="4" w:space="0" w:color="auto"/>
            </w:tcBorders>
            <w:shd w:val="clear" w:color="auto" w:fill="auto"/>
          </w:tcPr>
          <w:p w:rsidR="00DA4363" w:rsidRPr="00DA4363" w:rsidRDefault="00DA4363" w:rsidP="001542F0">
            <w:pPr>
              <w:rPr>
                <w:rFonts w:ascii="Arial" w:hAnsi="Arial" w:cs="Arial"/>
                <w:sz w:val="22"/>
              </w:rPr>
            </w:pPr>
            <w:r w:rsidRPr="00DA4363">
              <w:rPr>
                <w:rFonts w:ascii="Arial" w:hAnsi="Arial" w:cs="Arial"/>
                <w:sz w:val="22"/>
              </w:rPr>
              <w:t>Jugendverbände (Unterstützungsleistung)</w:t>
            </w:r>
          </w:p>
        </w:tc>
        <w:tc>
          <w:tcPr>
            <w:tcW w:w="1709" w:type="dxa"/>
            <w:shd w:val="clear" w:color="auto" w:fill="auto"/>
            <w:vAlign w:val="center"/>
          </w:tcPr>
          <w:p w:rsidR="00DA4363" w:rsidRPr="00DA4363" w:rsidRDefault="00DA4363" w:rsidP="001542F0">
            <w:pPr>
              <w:jc w:val="right"/>
              <w:rPr>
                <w:rFonts w:ascii="Arial" w:hAnsi="Arial" w:cs="Arial"/>
                <w:sz w:val="22"/>
              </w:rPr>
            </w:pPr>
            <w:r w:rsidRPr="00DA4363">
              <w:rPr>
                <w:rFonts w:ascii="Arial" w:hAnsi="Arial" w:cs="Arial"/>
                <w:sz w:val="22"/>
              </w:rPr>
              <w:t>414,00 Tage</w:t>
            </w:r>
          </w:p>
        </w:tc>
      </w:tr>
      <w:tr w:rsidR="00DA4363" w:rsidTr="004D7BD7">
        <w:trPr>
          <w:trHeight w:val="397"/>
          <w:jc w:val="center"/>
        </w:trPr>
        <w:tc>
          <w:tcPr>
            <w:tcW w:w="4387" w:type="dxa"/>
            <w:tcBorders>
              <w:right w:val="single" w:sz="4" w:space="0" w:color="auto"/>
            </w:tcBorders>
            <w:shd w:val="clear" w:color="auto" w:fill="D9D9D9" w:themeFill="background1" w:themeFillShade="D9"/>
            <w:vAlign w:val="center"/>
          </w:tcPr>
          <w:p w:rsidR="00DA4363" w:rsidRPr="00DA4363" w:rsidRDefault="00DA4363" w:rsidP="00BC1C8E">
            <w:pPr>
              <w:rPr>
                <w:rFonts w:ascii="Arial" w:hAnsi="Arial" w:cs="Arial"/>
                <w:b/>
                <w:color w:val="FF0000"/>
                <w:sz w:val="22"/>
              </w:rPr>
            </w:pPr>
            <w:r w:rsidRPr="00DA4363">
              <w:rPr>
                <w:rFonts w:ascii="Arial" w:hAnsi="Arial" w:cs="Arial"/>
                <w:b/>
                <w:color w:val="FF0000"/>
                <w:sz w:val="22"/>
              </w:rPr>
              <w:t>Gesamt</w:t>
            </w:r>
          </w:p>
        </w:tc>
        <w:tc>
          <w:tcPr>
            <w:tcW w:w="1709" w:type="dxa"/>
            <w:shd w:val="clear" w:color="auto" w:fill="D9D9D9" w:themeFill="background1" w:themeFillShade="D9"/>
            <w:vAlign w:val="center"/>
          </w:tcPr>
          <w:p w:rsidR="00DA4363" w:rsidRPr="00DA4363" w:rsidRDefault="00DA4363" w:rsidP="001542F0">
            <w:pPr>
              <w:jc w:val="right"/>
              <w:rPr>
                <w:rFonts w:ascii="Arial" w:hAnsi="Arial" w:cs="Arial"/>
                <w:b/>
                <w:color w:val="FF0000"/>
                <w:sz w:val="22"/>
              </w:rPr>
            </w:pPr>
            <w:r w:rsidRPr="00DA4363">
              <w:rPr>
                <w:rFonts w:ascii="Arial" w:hAnsi="Arial" w:cs="Arial"/>
                <w:b/>
                <w:color w:val="FF0000"/>
                <w:sz w:val="22"/>
              </w:rPr>
              <w:t>206,07 Tage</w:t>
            </w:r>
          </w:p>
        </w:tc>
      </w:tr>
    </w:tbl>
    <w:p w:rsidR="00503889" w:rsidRDefault="00503889" w:rsidP="00503889"/>
    <w:p w:rsidR="00DA4363" w:rsidRPr="00DA4363" w:rsidRDefault="00503889" w:rsidP="00DA4363">
      <w:pPr>
        <w:rPr>
          <w:sz w:val="18"/>
        </w:rPr>
      </w:pPr>
      <w:r w:rsidRPr="008F6F7D">
        <w:rPr>
          <w:rFonts w:cs="Arial"/>
          <w:vertAlign w:val="superscript"/>
        </w:rPr>
        <w:t xml:space="preserve">1 </w:t>
      </w:r>
      <w:r>
        <w:rPr>
          <w:rFonts w:cs="Arial"/>
          <w:sz w:val="18"/>
        </w:rPr>
        <w:t>Die Bearbeitungsdauer beschreibt die Zeitspanne zwischen Antragseingang und Bewilligungsdatum.</w:t>
      </w:r>
    </w:p>
    <w:p w:rsidR="006C65C0" w:rsidRDefault="006C65C0" w:rsidP="006C65C0"/>
    <w:p w:rsidR="004D7BD7" w:rsidRDefault="004D7BD7" w:rsidP="006C65C0"/>
    <w:p w:rsidR="00BB22BB" w:rsidRDefault="004D7BD7" w:rsidP="006C65C0">
      <w:r>
        <w:t>Die Bearbeitungsdauer der Bewilligungen im Jahr 2020 liegt derzeit bei durchschnittlich 206,07 Tagen, wird sich jedoch aufgrund der noch nicht vollständig abgeschlossenen Bearbeitung perspektivisch weiter erhöhen. Das Rechnungsprüfungsamt empfiehlt hingegen eine Bearbeitungszeit von 3 Monaten nach Eingang der Unterlagen.</w:t>
      </w:r>
    </w:p>
    <w:p w:rsidR="00845170" w:rsidRDefault="00845170" w:rsidP="00845170"/>
    <w:p w:rsidR="005915E7" w:rsidRDefault="0013612A" w:rsidP="00845170">
      <w:r>
        <w:t xml:space="preserve">Die Bearbeitung der </w:t>
      </w:r>
      <w:r w:rsidR="005915E7">
        <w:t xml:space="preserve">oben beschriebenen, </w:t>
      </w:r>
      <w:r w:rsidR="00BB22BB">
        <w:t xml:space="preserve">noch weiter </w:t>
      </w:r>
      <w:r w:rsidR="005915E7">
        <w:t xml:space="preserve">anfallenden </w:t>
      </w:r>
      <w:r>
        <w:t xml:space="preserve">Zusatz-Aufgaben im Zusammenhang mit der COVID-19 Pandemie </w:t>
      </w:r>
      <w:r w:rsidR="005915E7">
        <w:t>sowie</w:t>
      </w:r>
      <w:r>
        <w:t xml:space="preserve"> der Abbau der bisher </w:t>
      </w:r>
      <w:r w:rsidR="005915E7">
        <w:t xml:space="preserve">dadurch aufgebauten und der für die Dauer der Pandemie und darüber hinaus weiter entstehenden Arbeitsrückstände führt nach qualifizierter Einschätzung des Fachbereichs voraussichtlich in der Laufzeit des Doppelhaushalts 2022/2023 zu einem zusätzlichen Personalbedarf in Höhe von </w:t>
      </w:r>
      <w:r w:rsidR="005915E7" w:rsidRPr="005915E7">
        <w:rPr>
          <w:b/>
        </w:rPr>
        <w:t>2,0 Stellen in A11 mit KW-Vermerk 01/2024</w:t>
      </w:r>
      <w:r w:rsidR="005915E7">
        <w:t>.</w:t>
      </w:r>
    </w:p>
    <w:p w:rsidR="003D7B0B" w:rsidRPr="00165C0D" w:rsidRDefault="003D7B0B" w:rsidP="00165C0D">
      <w:pPr>
        <w:pStyle w:val="berschrift2"/>
      </w:pPr>
      <w:r w:rsidRPr="00165C0D">
        <w:t>3.2</w:t>
      </w:r>
      <w:r w:rsidRPr="00165C0D">
        <w:tab/>
        <w:t>Bisherige Aufgabenwahrnehmung</w:t>
      </w:r>
    </w:p>
    <w:p w:rsidR="00860EC1" w:rsidRDefault="00860EC1" w:rsidP="00884D6C"/>
    <w:p w:rsidR="00436961" w:rsidRDefault="00860EC1" w:rsidP="00860EC1">
      <w:pPr>
        <w:rPr>
          <w:rFonts w:cs="Arial"/>
        </w:rPr>
      </w:pPr>
      <w:r w:rsidRPr="002F3BDA">
        <w:rPr>
          <w:rFonts w:cs="Arial"/>
        </w:rPr>
        <w:t xml:space="preserve">Die </w:t>
      </w:r>
      <w:r w:rsidR="00436961">
        <w:rPr>
          <w:rFonts w:cs="Arial"/>
        </w:rPr>
        <w:t>mit der COVID-19 Pandemie einhergehenden Aufgaben haben sich erst im Frühjahr des Jahres 2020 ergeben und mussten bisher nicht wahrgenommen werden.</w:t>
      </w:r>
    </w:p>
    <w:p w:rsidR="003D7B0B" w:rsidRDefault="006E0575" w:rsidP="00884D6C">
      <w:pPr>
        <w:pStyle w:val="berschrift2"/>
      </w:pPr>
      <w:r>
        <w:t>3.3</w:t>
      </w:r>
      <w:r w:rsidR="003D7B0B">
        <w:tab/>
        <w:t>Auswirkungen bei Ablehnung der Stellenschaffungen</w:t>
      </w:r>
    </w:p>
    <w:p w:rsidR="003D7B0B" w:rsidRDefault="003D7B0B" w:rsidP="00884D6C"/>
    <w:p w:rsidR="00860EC1" w:rsidRDefault="00860EC1" w:rsidP="00860EC1">
      <w:pPr>
        <w:rPr>
          <w:rFonts w:cs="Arial"/>
        </w:rPr>
      </w:pPr>
      <w:r w:rsidRPr="002F3BDA">
        <w:rPr>
          <w:rFonts w:cs="Arial"/>
        </w:rPr>
        <w:t xml:space="preserve">Bei Nichtschaffung der Stellen </w:t>
      </w:r>
      <w:r>
        <w:rPr>
          <w:rFonts w:cs="Arial"/>
        </w:rPr>
        <w:t>ist die adäquate Erledigung der Kernaufgaben nicht mehr gewährleistet</w:t>
      </w:r>
      <w:r w:rsidR="00436961">
        <w:rPr>
          <w:rFonts w:cs="Arial"/>
        </w:rPr>
        <w:t>, da der Fokus auf die dringlichen Aufgaben im Zusammenhang mit der COVID-19 Pandemie gelegt werden muss</w:t>
      </w:r>
      <w:r>
        <w:rPr>
          <w:rFonts w:cs="Arial"/>
        </w:rPr>
        <w:t>.</w:t>
      </w:r>
    </w:p>
    <w:p w:rsidR="00860EC1" w:rsidRDefault="00860EC1" w:rsidP="00860EC1">
      <w:pPr>
        <w:rPr>
          <w:rFonts w:cs="Arial"/>
        </w:rPr>
      </w:pPr>
    </w:p>
    <w:p w:rsidR="00860EC1" w:rsidRDefault="00860EC1" w:rsidP="00860EC1">
      <w:pPr>
        <w:pStyle w:val="Listenabsatz"/>
        <w:numPr>
          <w:ilvl w:val="0"/>
          <w:numId w:val="11"/>
        </w:numPr>
        <w:rPr>
          <w:rFonts w:cs="Arial"/>
        </w:rPr>
      </w:pPr>
      <w:r w:rsidRPr="00860EC1">
        <w:rPr>
          <w:rFonts w:cs="Arial"/>
        </w:rPr>
        <w:t xml:space="preserve">Die Bearbeitungszeiten werden sich weiter verlängern, was zur Folge hat, dass die Träger </w:t>
      </w:r>
      <w:r>
        <w:rPr>
          <w:rFonts w:cs="Arial"/>
        </w:rPr>
        <w:t>zu wenig Geld für ihre Leistungen erhalten oder dass Überzahlungen nicht rechtzeitig festgestellt un</w:t>
      </w:r>
      <w:r w:rsidR="006A5A2B">
        <w:rPr>
          <w:rFonts w:cs="Arial"/>
        </w:rPr>
        <w:t>d zurückgefordert werden können.</w:t>
      </w:r>
    </w:p>
    <w:p w:rsidR="006A5A2B" w:rsidRDefault="006A5A2B" w:rsidP="006A5A2B">
      <w:pPr>
        <w:pStyle w:val="Listenabsatz"/>
        <w:ind w:left="360"/>
        <w:rPr>
          <w:rFonts w:cs="Arial"/>
        </w:rPr>
      </w:pPr>
    </w:p>
    <w:p w:rsidR="006A5A2B" w:rsidRPr="006A5A2B" w:rsidRDefault="00860EC1" w:rsidP="006A5A2B">
      <w:pPr>
        <w:pStyle w:val="Listenabsatz"/>
        <w:numPr>
          <w:ilvl w:val="0"/>
          <w:numId w:val="11"/>
        </w:numPr>
        <w:rPr>
          <w:rFonts w:cs="Arial"/>
        </w:rPr>
      </w:pPr>
      <w:r w:rsidRPr="006A5A2B">
        <w:rPr>
          <w:rFonts w:cs="Arial"/>
        </w:rPr>
        <w:lastRenderedPageBreak/>
        <w:t>Eine Absenkung der Prüftiefe</w:t>
      </w:r>
      <w:r w:rsidR="006A5A2B">
        <w:rPr>
          <w:rFonts w:cs="Arial"/>
        </w:rPr>
        <w:t xml:space="preserve"> zur Verkürzung der Bearbeitungszeiten hat zur Folge, dass </w:t>
      </w:r>
      <w:r w:rsidR="006A5A2B" w:rsidRPr="006A5A2B">
        <w:rPr>
          <w:rFonts w:cs="Arial"/>
        </w:rPr>
        <w:t>Ansprüche der Stadt gegenüber den Trägern in beträchtlicher Höhe nicht festgestellt werden können.</w:t>
      </w:r>
    </w:p>
    <w:p w:rsidR="006A5A2B" w:rsidRPr="006A5A2B" w:rsidRDefault="006A5A2B" w:rsidP="006A5A2B">
      <w:pPr>
        <w:pStyle w:val="Listenabsatz"/>
        <w:ind w:left="360"/>
        <w:rPr>
          <w:rFonts w:cs="Arial"/>
        </w:rPr>
      </w:pPr>
    </w:p>
    <w:p w:rsidR="00860EC1" w:rsidRPr="006A5A2B" w:rsidRDefault="00860EC1" w:rsidP="00860EC1">
      <w:pPr>
        <w:pStyle w:val="Listenabsatz"/>
        <w:numPr>
          <w:ilvl w:val="0"/>
          <w:numId w:val="11"/>
        </w:numPr>
        <w:rPr>
          <w:rFonts w:cs="Arial"/>
        </w:rPr>
      </w:pPr>
      <w:r w:rsidRPr="006A5A2B">
        <w:rPr>
          <w:rFonts w:cs="Arial"/>
        </w:rPr>
        <w:t xml:space="preserve">Dem steigenden Beratungsbedarf der Träger kann nicht </w:t>
      </w:r>
      <w:r w:rsidR="006A5A2B">
        <w:rPr>
          <w:rFonts w:cs="Arial"/>
        </w:rPr>
        <w:t>entsprochen werden, somit ist eine Leistungserbringung im Sinne des gesamtstädtischen Interesses nicht mehr sichergestellt.</w:t>
      </w:r>
    </w:p>
    <w:p w:rsidR="003D7B0B" w:rsidRDefault="00884D6C" w:rsidP="00884D6C">
      <w:pPr>
        <w:pStyle w:val="berschrift1"/>
      </w:pPr>
      <w:r>
        <w:t>4</w:t>
      </w:r>
      <w:r>
        <w:tab/>
      </w:r>
      <w:r w:rsidR="003D7B0B">
        <w:t>Stellenvermerke</w:t>
      </w:r>
    </w:p>
    <w:p w:rsidR="003D7B0B" w:rsidRDefault="003D7B0B" w:rsidP="00884D6C"/>
    <w:p w:rsidR="00A7631D" w:rsidRPr="00F74CDF" w:rsidRDefault="00436961" w:rsidP="00436961">
      <w:r>
        <w:t xml:space="preserve">Die Schaffung der Stellen soll zur Überbrückung der Ausnahmesituation dienen, die </w:t>
      </w:r>
      <w:r w:rsidR="00B7637A">
        <w:t xml:space="preserve">sich </w:t>
      </w:r>
      <w:r>
        <w:t xml:space="preserve">aus der COVID-19 Pandemie </w:t>
      </w:r>
      <w:r w:rsidR="00B7637A">
        <w:t xml:space="preserve">ergibt, und daher </w:t>
      </w:r>
      <w:r w:rsidR="005915E7">
        <w:t>mit KW</w:t>
      </w:r>
      <w:r>
        <w:t>-Vermerk</w:t>
      </w:r>
      <w:r w:rsidR="005915E7">
        <w:t xml:space="preserve"> 01/2024</w:t>
      </w:r>
      <w:r>
        <w:t xml:space="preserve"> erfolgen.</w:t>
      </w:r>
    </w:p>
    <w:sectPr w:rsidR="00A7631D" w:rsidRPr="00F74CDF" w:rsidSect="008A6065">
      <w:headerReference w:type="default" r:id="rId8"/>
      <w:pgSz w:w="11907" w:h="16840" w:code="9"/>
      <w:pgMar w:top="1418" w:right="1134"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BF" w:rsidRDefault="007C3ABF">
      <w:r>
        <w:separator/>
      </w:r>
    </w:p>
  </w:endnote>
  <w:endnote w:type="continuationSeparator" w:id="0">
    <w:p w:rsidR="007C3ABF" w:rsidRDefault="007C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BF" w:rsidRDefault="007C3ABF">
      <w:r>
        <w:separator/>
      </w:r>
    </w:p>
  </w:footnote>
  <w:footnote w:type="continuationSeparator" w:id="0">
    <w:p w:rsidR="007C3ABF" w:rsidRDefault="007C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BF" w:rsidRDefault="007C3ABF">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120F7">
      <w:rPr>
        <w:rStyle w:val="Seitenzahl"/>
        <w:noProof/>
      </w:rPr>
      <w:t>4</w:t>
    </w:r>
    <w:r>
      <w:rPr>
        <w:rStyle w:val="Seitenzahl"/>
      </w:rPr>
      <w:fldChar w:fldCharType="end"/>
    </w:r>
    <w:r>
      <w:rPr>
        <w:rStyle w:val="Seitenzahl"/>
      </w:rPr>
      <w:t xml:space="preserve"> -</w:t>
    </w:r>
  </w:p>
  <w:p w:rsidR="007C3ABF" w:rsidRDefault="007C3A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A269B"/>
    <w:multiLevelType w:val="hybridMultilevel"/>
    <w:tmpl w:val="5E1E33C2"/>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7471783"/>
    <w:multiLevelType w:val="hybridMultilevel"/>
    <w:tmpl w:val="51E88BA4"/>
    <w:lvl w:ilvl="0" w:tplc="FDECDDB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9E62AD"/>
    <w:multiLevelType w:val="hybridMultilevel"/>
    <w:tmpl w:val="316C5798"/>
    <w:lvl w:ilvl="0" w:tplc="B8FAE364">
      <w:start w:val="1"/>
      <w:numFmt w:val="upperLetter"/>
      <w:lvlText w:val="%1."/>
      <w:lvlJc w:val="left"/>
      <w:pPr>
        <w:ind w:left="360" w:hanging="360"/>
      </w:pPr>
      <w:rPr>
        <w:rFonts w:hint="default"/>
        <w:b/>
        <w:u w:val="none"/>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F52345"/>
    <w:multiLevelType w:val="hybridMultilevel"/>
    <w:tmpl w:val="ABB031EE"/>
    <w:lvl w:ilvl="0" w:tplc="1576AD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462BD"/>
    <w:multiLevelType w:val="hybridMultilevel"/>
    <w:tmpl w:val="5BAC3EA4"/>
    <w:lvl w:ilvl="0" w:tplc="BA68CECE">
      <w:numFmt w:val="bullet"/>
      <w:lvlText w:val="-"/>
      <w:lvlJc w:val="left"/>
      <w:pPr>
        <w:ind w:left="600" w:hanging="24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47ED094B"/>
    <w:multiLevelType w:val="hybridMultilevel"/>
    <w:tmpl w:val="5A304CAA"/>
    <w:lvl w:ilvl="0" w:tplc="1576AD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15:restartNumberingAfterBreak="0">
    <w:nsid w:val="7AA14130"/>
    <w:multiLevelType w:val="hybridMultilevel"/>
    <w:tmpl w:val="1452E77C"/>
    <w:lvl w:ilvl="0" w:tplc="FDECDDB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8"/>
  </w:num>
  <w:num w:numId="5">
    <w:abstractNumId w:val="10"/>
  </w:num>
  <w:num w:numId="6">
    <w:abstractNumId w:val="9"/>
  </w:num>
  <w:num w:numId="7">
    <w:abstractNumId w:val="7"/>
  </w:num>
  <w:num w:numId="8">
    <w:abstractNumId w:val="6"/>
  </w:num>
  <w:num w:numId="9">
    <w:abstractNumId w:val="1"/>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6A"/>
    <w:rsid w:val="00013B6D"/>
    <w:rsid w:val="000555CC"/>
    <w:rsid w:val="00055758"/>
    <w:rsid w:val="00063C07"/>
    <w:rsid w:val="000A1146"/>
    <w:rsid w:val="000C5905"/>
    <w:rsid w:val="000F02CA"/>
    <w:rsid w:val="001034AF"/>
    <w:rsid w:val="0011112B"/>
    <w:rsid w:val="0013612A"/>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F0711"/>
    <w:rsid w:val="0030686C"/>
    <w:rsid w:val="00380937"/>
    <w:rsid w:val="0039335D"/>
    <w:rsid w:val="00397717"/>
    <w:rsid w:val="003B2FBE"/>
    <w:rsid w:val="003B7072"/>
    <w:rsid w:val="003D5DF7"/>
    <w:rsid w:val="003D7B0B"/>
    <w:rsid w:val="003F0FAA"/>
    <w:rsid w:val="00433DE0"/>
    <w:rsid w:val="00436961"/>
    <w:rsid w:val="00470135"/>
    <w:rsid w:val="0047606A"/>
    <w:rsid w:val="004908B5"/>
    <w:rsid w:val="0049121B"/>
    <w:rsid w:val="004A1688"/>
    <w:rsid w:val="004B6796"/>
    <w:rsid w:val="004D7BD7"/>
    <w:rsid w:val="00503889"/>
    <w:rsid w:val="00536D71"/>
    <w:rsid w:val="00551EE6"/>
    <w:rsid w:val="005915E7"/>
    <w:rsid w:val="005A0595"/>
    <w:rsid w:val="005A0A9D"/>
    <w:rsid w:val="005A56AA"/>
    <w:rsid w:val="005E19C6"/>
    <w:rsid w:val="005F5B3D"/>
    <w:rsid w:val="00606F80"/>
    <w:rsid w:val="00622CC7"/>
    <w:rsid w:val="00632DB4"/>
    <w:rsid w:val="006A406B"/>
    <w:rsid w:val="006A5A2B"/>
    <w:rsid w:val="006B6D50"/>
    <w:rsid w:val="006C4093"/>
    <w:rsid w:val="006C65C0"/>
    <w:rsid w:val="006E02E2"/>
    <w:rsid w:val="006E0575"/>
    <w:rsid w:val="0072799A"/>
    <w:rsid w:val="00754659"/>
    <w:rsid w:val="007C3ABF"/>
    <w:rsid w:val="007E3B79"/>
    <w:rsid w:val="007F726A"/>
    <w:rsid w:val="008066EE"/>
    <w:rsid w:val="00817BB6"/>
    <w:rsid w:val="00845170"/>
    <w:rsid w:val="0085573F"/>
    <w:rsid w:val="00860EC1"/>
    <w:rsid w:val="00874D8A"/>
    <w:rsid w:val="0088221C"/>
    <w:rsid w:val="00884D6C"/>
    <w:rsid w:val="008A6065"/>
    <w:rsid w:val="008C33B3"/>
    <w:rsid w:val="008F6F7D"/>
    <w:rsid w:val="009042CB"/>
    <w:rsid w:val="00920F00"/>
    <w:rsid w:val="009373F6"/>
    <w:rsid w:val="00944E90"/>
    <w:rsid w:val="00971C8B"/>
    <w:rsid w:val="00976588"/>
    <w:rsid w:val="009D5FF1"/>
    <w:rsid w:val="00A27CA7"/>
    <w:rsid w:val="00A45B30"/>
    <w:rsid w:val="00A71D0A"/>
    <w:rsid w:val="00A7631D"/>
    <w:rsid w:val="00A77F1E"/>
    <w:rsid w:val="00A847C4"/>
    <w:rsid w:val="00AB389D"/>
    <w:rsid w:val="00AC11C5"/>
    <w:rsid w:val="00AE7B02"/>
    <w:rsid w:val="00AF0DEA"/>
    <w:rsid w:val="00AF25E0"/>
    <w:rsid w:val="00B04290"/>
    <w:rsid w:val="00B561D5"/>
    <w:rsid w:val="00B7637A"/>
    <w:rsid w:val="00B80DEF"/>
    <w:rsid w:val="00B86BB5"/>
    <w:rsid w:val="00B91903"/>
    <w:rsid w:val="00BB22BB"/>
    <w:rsid w:val="00BC1C8E"/>
    <w:rsid w:val="00BC4669"/>
    <w:rsid w:val="00C16EF1"/>
    <w:rsid w:val="00C43454"/>
    <w:rsid w:val="00C448D3"/>
    <w:rsid w:val="00CD0FD3"/>
    <w:rsid w:val="00CF62E5"/>
    <w:rsid w:val="00D66D3A"/>
    <w:rsid w:val="00D743D4"/>
    <w:rsid w:val="00DA4363"/>
    <w:rsid w:val="00DB3D6C"/>
    <w:rsid w:val="00DE0638"/>
    <w:rsid w:val="00DE362D"/>
    <w:rsid w:val="00E014B6"/>
    <w:rsid w:val="00E1162F"/>
    <w:rsid w:val="00E11D5F"/>
    <w:rsid w:val="00E120F7"/>
    <w:rsid w:val="00E150C0"/>
    <w:rsid w:val="00E20E1F"/>
    <w:rsid w:val="00E42F96"/>
    <w:rsid w:val="00E53786"/>
    <w:rsid w:val="00E7118F"/>
    <w:rsid w:val="00EA68DC"/>
    <w:rsid w:val="00EC5D8D"/>
    <w:rsid w:val="00F27657"/>
    <w:rsid w:val="00F342DC"/>
    <w:rsid w:val="00F51226"/>
    <w:rsid w:val="00F56F93"/>
    <w:rsid w:val="00F63041"/>
    <w:rsid w:val="00F65620"/>
    <w:rsid w:val="00F74CDF"/>
    <w:rsid w:val="00F76452"/>
    <w:rsid w:val="00F81AB7"/>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7BBCF"/>
  <w15:docId w15:val="{7EF0FF93-D821-4EEE-8222-9C33669D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uiPriority w:val="59"/>
    <w:rsid w:val="00DE063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10212\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746E-B588-4AF2-AEE2-60810D83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4</Pages>
  <Words>1004</Words>
  <Characters>7000</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Andrea Burgstaller</dc:creator>
  <cp:lastModifiedBy>Frau Jesinger</cp:lastModifiedBy>
  <cp:revision>2</cp:revision>
  <cp:lastPrinted>2012-11-15T10:58:00Z</cp:lastPrinted>
  <dcterms:created xsi:type="dcterms:W3CDTF">2021-04-26T16:56:00Z</dcterms:created>
  <dcterms:modified xsi:type="dcterms:W3CDTF">2021-04-26T16:56:00Z</dcterms:modified>
</cp:coreProperties>
</file>