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51FC6">
        <w:t>22</w:t>
      </w:r>
      <w:bookmarkStart w:id="0" w:name="_GoBack"/>
      <w:bookmarkEnd w:id="0"/>
      <w:r w:rsidRPr="006E0575">
        <w:t xml:space="preserve"> zur GRDrs</w:t>
      </w:r>
      <w:r w:rsidR="003763F3">
        <w:t>.</w:t>
      </w:r>
      <w:r w:rsidRPr="006E0575">
        <w:t xml:space="preserve"> </w:t>
      </w:r>
      <w:r w:rsidR="003763F3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640A4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51320" w:rsidP="0030686C">
            <w:pPr>
              <w:rPr>
                <w:sz w:val="20"/>
              </w:rPr>
            </w:pPr>
            <w:r>
              <w:rPr>
                <w:sz w:val="20"/>
              </w:rPr>
              <w:t>61-1.4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151320" w:rsidP="0030686C">
            <w:pPr>
              <w:rPr>
                <w:sz w:val="20"/>
              </w:rPr>
            </w:pPr>
            <w:r>
              <w:rPr>
                <w:sz w:val="20"/>
              </w:rPr>
              <w:t>6114</w:t>
            </w:r>
            <w:r w:rsidR="003763F3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51320" w:rsidP="0030686C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8009B" w:rsidP="0030686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763F3" w:rsidP="003068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51320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763F3" w:rsidP="0030686C">
            <w:pPr>
              <w:rPr>
                <w:sz w:val="20"/>
              </w:rPr>
            </w:pPr>
            <w:r>
              <w:rPr>
                <w:sz w:val="20"/>
              </w:rPr>
              <w:t>BP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763F3" w:rsidP="0030686C">
            <w:pPr>
              <w:rPr>
                <w:sz w:val="20"/>
              </w:rPr>
            </w:pPr>
            <w:r>
              <w:rPr>
                <w:sz w:val="20"/>
              </w:rPr>
              <w:t>88.800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A82669" w:rsidP="00884D6C">
      <w:r>
        <w:t xml:space="preserve">Der Schaffung von 1,0 Stelle </w:t>
      </w:r>
      <w:r w:rsidR="00744C5F">
        <w:t>für eine</w:t>
      </w:r>
      <w:r w:rsidR="003763F3">
        <w:t>/-n Sachbearbeiter/-</w:t>
      </w:r>
      <w:r w:rsidR="008640A4">
        <w:t xml:space="preserve">in Denkmalschutz </w:t>
      </w:r>
      <w:r w:rsidR="00151320">
        <w:t xml:space="preserve">mit dem Schwerpunkt </w:t>
      </w:r>
      <w:r w:rsidR="008640A4">
        <w:t xml:space="preserve">Energie bei </w:t>
      </w:r>
      <w:r>
        <w:t xml:space="preserve">61-1.4 in EG 12 wird zugestimmt.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A82669" w:rsidRDefault="00A82669" w:rsidP="00A82669"/>
    <w:p w:rsidR="00A82669" w:rsidRDefault="00A82669" w:rsidP="00A82669">
      <w:r>
        <w:t>Es handelt sich um eine neue gesetzliche Aufgabe.</w:t>
      </w:r>
    </w:p>
    <w:p w:rsidR="008640A4" w:rsidRDefault="008640A4" w:rsidP="00884D6C">
      <w:pPr>
        <w:rPr>
          <w:noProof/>
          <w:szCs w:val="22"/>
        </w:rPr>
      </w:pPr>
    </w:p>
    <w:p w:rsidR="008640A4" w:rsidRDefault="008640A4" w:rsidP="00884D6C">
      <w:pPr>
        <w:rPr>
          <w:noProof/>
          <w:szCs w:val="22"/>
        </w:rPr>
      </w:pPr>
      <w:r>
        <w:rPr>
          <w:noProof/>
          <w:szCs w:val="22"/>
        </w:rPr>
        <w:t>§ 7 DSchG (Maßnahmen und Zuständigkeit der Denkmalschutzbehörden) soll um folgenden Absatz ergänzt werden:</w:t>
      </w:r>
    </w:p>
    <w:p w:rsidR="00744C5F" w:rsidRDefault="00744C5F" w:rsidP="00884D6C">
      <w:pPr>
        <w:rPr>
          <w:noProof/>
          <w:szCs w:val="22"/>
        </w:rPr>
      </w:pPr>
    </w:p>
    <w:p w:rsidR="003D7B0B" w:rsidRDefault="008640A4" w:rsidP="00884D6C">
      <w:pPr>
        <w:rPr>
          <w:noProof/>
          <w:szCs w:val="22"/>
        </w:rPr>
      </w:pPr>
      <w:r>
        <w:rPr>
          <w:noProof/>
          <w:szCs w:val="22"/>
        </w:rPr>
        <w:t xml:space="preserve">Zudem sieht die </w:t>
      </w:r>
      <w:r w:rsidRPr="00157D63">
        <w:rPr>
          <w:noProof/>
          <w:szCs w:val="22"/>
        </w:rPr>
        <w:t>Photovoltaik-Pflicht-Verordnung</w:t>
      </w:r>
      <w:r w:rsidR="00176CFD">
        <w:rPr>
          <w:noProof/>
          <w:szCs w:val="22"/>
        </w:rPr>
        <w:t xml:space="preserve"> </w:t>
      </w:r>
      <w:r w:rsidR="00C1656D">
        <w:rPr>
          <w:noProof/>
          <w:szCs w:val="22"/>
        </w:rPr>
        <w:t xml:space="preserve">(PVPf-VO) </w:t>
      </w:r>
      <w:r w:rsidR="00176CFD">
        <w:rPr>
          <w:noProof/>
          <w:szCs w:val="22"/>
        </w:rPr>
        <w:t xml:space="preserve">ab </w:t>
      </w:r>
      <w:r>
        <w:rPr>
          <w:noProof/>
          <w:szCs w:val="22"/>
        </w:rPr>
        <w:t>1.</w:t>
      </w:r>
      <w:r w:rsidR="00176CFD">
        <w:rPr>
          <w:noProof/>
          <w:szCs w:val="22"/>
        </w:rPr>
        <w:t xml:space="preserve"> Januar </w:t>
      </w:r>
      <w:r>
        <w:rPr>
          <w:noProof/>
          <w:szCs w:val="22"/>
        </w:rPr>
        <w:t>2023 auch bei Dachsanierungen eine PV-Pflicht vor.</w:t>
      </w:r>
      <w:r w:rsidR="00C1656D">
        <w:rPr>
          <w:noProof/>
          <w:szCs w:val="22"/>
        </w:rPr>
        <w:t xml:space="preserve"> Es ist im Einzelfall zu prüfen, ob öffentlich-recht-liche Belange wie der Denkmalschutz, wirtschaftliche Aspekte oder konstruktive Gegebenenheiten des Gebäudes der PV-Pflicht entgegenstehen.</w:t>
      </w:r>
    </w:p>
    <w:p w:rsidR="00875790" w:rsidRPr="00875790" w:rsidRDefault="00875790" w:rsidP="00884D6C">
      <w:pPr>
        <w:rPr>
          <w:rFonts w:cs="Arial"/>
          <w:noProof/>
        </w:rPr>
      </w:pPr>
    </w:p>
    <w:p w:rsidR="00875790" w:rsidRPr="00875790" w:rsidRDefault="00875790" w:rsidP="00875790">
      <w:pPr>
        <w:rPr>
          <w:rFonts w:cs="Arial"/>
        </w:rPr>
      </w:pPr>
      <w:r>
        <w:rPr>
          <w:rFonts w:cs="Arial"/>
        </w:rPr>
        <w:t>Die</w:t>
      </w:r>
      <w:r w:rsidRPr="00875790">
        <w:rPr>
          <w:rFonts w:cs="Arial"/>
        </w:rPr>
        <w:t xml:space="preserve"> </w:t>
      </w:r>
      <w:r w:rsidRPr="00875790">
        <w:rPr>
          <w:rFonts w:cs="Arial"/>
          <w:bCs/>
        </w:rPr>
        <w:t>Leitlinien für die Entscheidung über die Erteilung einer</w:t>
      </w:r>
      <w:r>
        <w:rPr>
          <w:rFonts w:cs="Arial"/>
          <w:bCs/>
        </w:rPr>
        <w:t xml:space="preserve"> denkmalschutzrechtlichen Geneh</w:t>
      </w:r>
      <w:r w:rsidRPr="00875790">
        <w:rPr>
          <w:rFonts w:cs="Arial"/>
          <w:bCs/>
        </w:rPr>
        <w:t>migung nach § 8 Absatz 1 DSchG für die Errichtung von Solaranlagen auf bzw. an einem Kulturdenkmal nach § 2 DSchG</w:t>
      </w:r>
      <w:r>
        <w:rPr>
          <w:rFonts w:cs="Arial"/>
          <w:bCs/>
        </w:rPr>
        <w:t xml:space="preserve"> vom 12. Mai 2022 geben eine Handreichung für die Unteren Denkmalschutzbehörden vor.</w:t>
      </w:r>
    </w:p>
    <w:p w:rsidR="003D7B0B" w:rsidRPr="00875790" w:rsidRDefault="003D7B0B" w:rsidP="00884D6C">
      <w:pPr>
        <w:pStyle w:val="berschrift1"/>
        <w:rPr>
          <w:rFonts w:cs="Arial"/>
        </w:rPr>
      </w:pPr>
      <w:r w:rsidRPr="00875790">
        <w:rPr>
          <w:rFonts w:cs="Arial"/>
        </w:rPr>
        <w:t>3</w:t>
      </w:r>
      <w:r w:rsidRPr="00875790">
        <w:rPr>
          <w:rFonts w:cs="Arial"/>
        </w:rPr>
        <w:tab/>
        <w:t>Bedarf</w:t>
      </w:r>
    </w:p>
    <w:p w:rsidR="003D7B0B" w:rsidRPr="00875790" w:rsidRDefault="00884D6C" w:rsidP="00884D6C">
      <w:pPr>
        <w:pStyle w:val="berschrift2"/>
        <w:rPr>
          <w:rFonts w:cs="Arial"/>
        </w:rPr>
      </w:pPr>
      <w:r w:rsidRPr="00875790">
        <w:rPr>
          <w:rFonts w:cs="Arial"/>
        </w:rPr>
        <w:t>3.1</w:t>
      </w:r>
      <w:r w:rsidRPr="00875790">
        <w:rPr>
          <w:rFonts w:cs="Arial"/>
        </w:rPr>
        <w:tab/>
      </w:r>
      <w:r w:rsidR="006E0575" w:rsidRPr="00875790">
        <w:rPr>
          <w:rFonts w:cs="Arial"/>
        </w:rPr>
        <w:t>Anlass</w:t>
      </w:r>
    </w:p>
    <w:p w:rsidR="003D7B0B" w:rsidRPr="00884D6C" w:rsidRDefault="003D7B0B" w:rsidP="00884D6C"/>
    <w:p w:rsidR="006E0575" w:rsidRDefault="00744C5F" w:rsidP="00884D6C">
      <w:r>
        <w:t xml:space="preserve">Angesichts des für die gesamte Menschheit drängenden Problems des Klimawandels und </w:t>
      </w:r>
      <w:r w:rsidR="001777DC">
        <w:t>der gesetzlichen Vorgaben, die fossilen Energieträger sukzessive durch erneuerbare Energien abzulösen, steht das Thema Energieeinsparung im Kulturdenkmal immer mehr</w:t>
      </w:r>
      <w:r w:rsidR="003763F3">
        <w:t xml:space="preserve"> im Fokus von Denkmaleigentümer/-</w:t>
      </w:r>
      <w:r w:rsidR="001777DC">
        <w:t>innen.</w:t>
      </w:r>
    </w:p>
    <w:p w:rsidR="001777DC" w:rsidRDefault="001777DC" w:rsidP="00884D6C"/>
    <w:p w:rsidR="001777DC" w:rsidRPr="006E0575" w:rsidRDefault="001777DC" w:rsidP="00884D6C">
      <w:r>
        <w:t xml:space="preserve">Für die Bewertung und Beurteilung von Machbarkeitsstudien zum energiesparenden Wärmeschutz sind bauphysikalische Fachkenntnisse erforderlich, die </w:t>
      </w:r>
      <w:r w:rsidR="005C38D6">
        <w:t>die Bezirkssachbearbeiter</w:t>
      </w:r>
      <w:r w:rsidR="003763F3">
        <w:t>/-</w:t>
      </w:r>
      <w:r w:rsidR="005C38D6">
        <w:t>innen nicht in ausreichende</w:t>
      </w:r>
      <w:r w:rsidR="00706B40">
        <w:t xml:space="preserve">r </w:t>
      </w:r>
      <w:r w:rsidR="005C38D6">
        <w:t>Fachtiefe mitbringen.</w:t>
      </w:r>
      <w:r w:rsidR="002F090E">
        <w:t xml:space="preserve"> Dabei spielen Themen wie die Anbringung von Innendämmungen mit Taupunktverlagerungen und die Effizienz von Photovoltaikanlagen eine wesentliche Rolle.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744C5F" w:rsidP="00884D6C">
      <w:r>
        <w:t xml:space="preserve">Bisher </w:t>
      </w:r>
      <w:r w:rsidR="005C38D6">
        <w:t>nehmen</w:t>
      </w:r>
      <w:r>
        <w:t xml:space="preserve"> die fünf Bezirkssachbearbeiter</w:t>
      </w:r>
      <w:r w:rsidR="003763F3">
        <w:t>/-</w:t>
      </w:r>
      <w:r>
        <w:t>innen (davon 1 SB Vollzeit, 3 S</w:t>
      </w:r>
      <w:r w:rsidR="003763F3">
        <w:t>B Teilzeit und 1 SB zugleich SG</w:t>
      </w:r>
      <w:r>
        <w:t xml:space="preserve">-Leitung) die </w:t>
      </w:r>
      <w:r w:rsidR="005C38D6">
        <w:t>Energieberatungstermine für die jeweiligen Stadtbezirke se</w:t>
      </w:r>
      <w:r w:rsidR="003763F3">
        <w:t>lbst wahr. Um Denkmaleigentümer/-</w:t>
      </w:r>
      <w:r w:rsidR="005C38D6">
        <w:t xml:space="preserve">innen in der Landeshauptstadt fachkundig und umfassend beraten zu können, </w:t>
      </w:r>
      <w:r w:rsidR="00706B40">
        <w:t>ist ein vertieftes Fachwissen in bauphysikalischen und baukonstruktiven Themenbereichen erforderlich.</w:t>
      </w:r>
    </w:p>
    <w:p w:rsidR="005C38D6" w:rsidRDefault="005C38D6" w:rsidP="00884D6C"/>
    <w:p w:rsidR="005C38D6" w:rsidRDefault="00702311" w:rsidP="00884D6C">
      <w:r>
        <w:t>Obgleich</w:t>
      </w:r>
      <w:r w:rsidR="00706B40">
        <w:t xml:space="preserve"> Photovoltaikanlagen auf Kulturdenkmalen nach § 2 DSchG grundsätzlich genehmigungsfähig sind, ist eine umfassende Einzelfallprüfung erforderlich, da das Erscheinungsbild des jeweiligen Kulturdenkmals nicht erheblich beeinträchtigt werden darf. </w:t>
      </w:r>
      <w:r>
        <w:t xml:space="preserve">Gegebenenfalls sind wirtschaftliche und statische Belange in die Prüfung einzubeziehen. </w:t>
      </w:r>
      <w:r w:rsidR="00706B40">
        <w:t>Die Beratung der Denkmaleigentümer</w:t>
      </w:r>
      <w:r w:rsidR="003763F3">
        <w:t>/-</w:t>
      </w:r>
      <w:r w:rsidR="00706B40">
        <w:t>innen hinsichtlich Umfang und Gestaltung der PV-Anla</w:t>
      </w:r>
      <w:r>
        <w:t>gen ist zeit- und personalintensiv.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46BD2" w:rsidRDefault="00D2782E" w:rsidP="00884D6C">
      <w:r>
        <w:t>Klimawandel, Energiekrise und die PV-Pflicht-Verordnung nehmen eine immer größere Bedeutung ein und erfordert e</w:t>
      </w:r>
      <w:r w:rsidR="00A82669">
        <w:t xml:space="preserve">ine qualifizierte Einschätzung </w:t>
      </w:r>
      <w:r>
        <w:t>und</w:t>
      </w:r>
      <w:r w:rsidR="00846BD2">
        <w:t xml:space="preserve"> Prüfung </w:t>
      </w:r>
      <w:r w:rsidR="00176CFD">
        <w:t>der Energiebelange</w:t>
      </w:r>
      <w:r>
        <w:t xml:space="preserve">, was </w:t>
      </w:r>
      <w:r w:rsidR="00846BD2">
        <w:t>gegebenenfalls zu deutlich längeren Bearbeitungszeiten von Anträgen</w:t>
      </w:r>
      <w:r>
        <w:t xml:space="preserve"> führt</w:t>
      </w:r>
      <w:r w:rsidR="00846BD2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763F3" w:rsidP="00884D6C">
      <w:r>
        <w:t>Die Stelle wird mit Bedarfsprüfungsvermerk „BP“ geschaffen.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F5" w:rsidRDefault="00964AF5">
      <w:r>
        <w:separator/>
      </w:r>
    </w:p>
  </w:endnote>
  <w:endnote w:type="continuationSeparator" w:id="0">
    <w:p w:rsidR="00964AF5" w:rsidRDefault="009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F5" w:rsidRDefault="00964AF5">
      <w:r>
        <w:separator/>
      </w:r>
    </w:p>
  </w:footnote>
  <w:footnote w:type="continuationSeparator" w:id="0">
    <w:p w:rsidR="00964AF5" w:rsidRDefault="0096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51FC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F5"/>
    <w:rsid w:val="00026253"/>
    <w:rsid w:val="00055758"/>
    <w:rsid w:val="00061F0B"/>
    <w:rsid w:val="000A1146"/>
    <w:rsid w:val="001034AF"/>
    <w:rsid w:val="0011112B"/>
    <w:rsid w:val="0014415D"/>
    <w:rsid w:val="00151320"/>
    <w:rsid w:val="00151488"/>
    <w:rsid w:val="00163034"/>
    <w:rsid w:val="00164678"/>
    <w:rsid w:val="00165C0D"/>
    <w:rsid w:val="00176CFD"/>
    <w:rsid w:val="001777DC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F090E"/>
    <w:rsid w:val="0030686C"/>
    <w:rsid w:val="003763F3"/>
    <w:rsid w:val="00380937"/>
    <w:rsid w:val="00397717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C38D6"/>
    <w:rsid w:val="005E19C6"/>
    <w:rsid w:val="005F5B3D"/>
    <w:rsid w:val="00606F80"/>
    <w:rsid w:val="00622CC7"/>
    <w:rsid w:val="006A406B"/>
    <w:rsid w:val="006B6D50"/>
    <w:rsid w:val="006E0575"/>
    <w:rsid w:val="00702311"/>
    <w:rsid w:val="00706B40"/>
    <w:rsid w:val="0072799A"/>
    <w:rsid w:val="00744C5F"/>
    <w:rsid w:val="00754659"/>
    <w:rsid w:val="007E3B79"/>
    <w:rsid w:val="008066EE"/>
    <w:rsid w:val="00817BB6"/>
    <w:rsid w:val="00846BD2"/>
    <w:rsid w:val="008640A4"/>
    <w:rsid w:val="00875790"/>
    <w:rsid w:val="00884D6C"/>
    <w:rsid w:val="00920F00"/>
    <w:rsid w:val="009373F6"/>
    <w:rsid w:val="00946276"/>
    <w:rsid w:val="0096038F"/>
    <w:rsid w:val="00964AF5"/>
    <w:rsid w:val="00976588"/>
    <w:rsid w:val="00A27CA7"/>
    <w:rsid w:val="00A45B30"/>
    <w:rsid w:val="00A71D0A"/>
    <w:rsid w:val="00A77F1E"/>
    <w:rsid w:val="00A82669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56D"/>
    <w:rsid w:val="00C16EF1"/>
    <w:rsid w:val="00C448D3"/>
    <w:rsid w:val="00CF62E5"/>
    <w:rsid w:val="00D2782E"/>
    <w:rsid w:val="00D51FC6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8009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9DF4"/>
  <w15:docId w15:val="{16BAF1AD-8C08-4B10-973D-15F006E4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875790"/>
    <w:pPr>
      <w:autoSpaceDE w:val="0"/>
      <w:autoSpaceDN w:val="0"/>
      <w:adjustRightInd w:val="0"/>
    </w:pPr>
    <w:rPr>
      <w:rFonts w:cs="Arial"/>
      <w:color w:val="000000"/>
    </w:rPr>
  </w:style>
  <w:style w:type="paragraph" w:styleId="Sprechblasentext">
    <w:name w:val="Balloon Text"/>
    <w:basedOn w:val="Standard"/>
    <w:link w:val="SprechblasentextZchn"/>
    <w:semiHidden/>
    <w:unhideWhenUsed/>
    <w:rsid w:val="00D51F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1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Pietrus, Dr. Ellen</dc:creator>
  <cp:lastModifiedBy>Baumann, Gerhard</cp:lastModifiedBy>
  <cp:revision>6</cp:revision>
  <cp:lastPrinted>2023-09-29T11:22:00Z</cp:lastPrinted>
  <dcterms:created xsi:type="dcterms:W3CDTF">2023-01-12T13:45:00Z</dcterms:created>
  <dcterms:modified xsi:type="dcterms:W3CDTF">2023-09-29T11:22:00Z</dcterms:modified>
</cp:coreProperties>
</file>