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B4233C">
        <w:t>2</w:t>
      </w:r>
      <w:r w:rsidRPr="006E0575">
        <w:t xml:space="preserve"> zur GRDrs </w:t>
      </w:r>
      <w:r w:rsidR="00B4233C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3F3464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3F3464" w:rsidRPr="006E0575" w:rsidTr="003F3464">
        <w:tc>
          <w:tcPr>
            <w:tcW w:w="1814" w:type="dxa"/>
          </w:tcPr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  <w:r w:rsidRPr="003F34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R-AGS2"/>
                  </w:textInput>
                </w:ffData>
              </w:fldChar>
            </w:r>
            <w:r w:rsidRPr="003F3464">
              <w:rPr>
                <w:sz w:val="20"/>
                <w:szCs w:val="20"/>
              </w:rPr>
              <w:instrText xml:space="preserve"> FORMTEXT </w:instrText>
            </w:r>
            <w:r w:rsidRPr="003F3464">
              <w:rPr>
                <w:sz w:val="20"/>
                <w:szCs w:val="20"/>
              </w:rPr>
            </w:r>
            <w:r w:rsidRPr="003F3464">
              <w:rPr>
                <w:sz w:val="20"/>
                <w:szCs w:val="20"/>
              </w:rPr>
              <w:fldChar w:fldCharType="separate"/>
            </w:r>
            <w:r w:rsidR="002128F5">
              <w:rPr>
                <w:noProof/>
                <w:sz w:val="20"/>
                <w:szCs w:val="20"/>
              </w:rPr>
              <w:t>AKR-AGS2</w:t>
            </w:r>
            <w:r w:rsidRPr="003F3464">
              <w:rPr>
                <w:sz w:val="20"/>
                <w:szCs w:val="20"/>
              </w:rPr>
              <w:fldChar w:fldCharType="end"/>
            </w: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  <w:r w:rsidRPr="003F3464">
              <w:rPr>
                <w:sz w:val="20"/>
                <w:szCs w:val="20"/>
              </w:rPr>
              <w:t>8010</w:t>
            </w:r>
            <w:r w:rsidR="00DF4D51">
              <w:rPr>
                <w:sz w:val="20"/>
                <w:szCs w:val="20"/>
              </w:rPr>
              <w:t xml:space="preserve"> </w:t>
            </w:r>
            <w:r w:rsidRPr="003F3464">
              <w:rPr>
                <w:sz w:val="20"/>
                <w:szCs w:val="20"/>
              </w:rPr>
              <w:t>5210</w:t>
            </w: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DF4D51" w:rsidRPr="003F3464" w:rsidRDefault="00DF4D51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Bürgermeisteramt</w:t>
            </w:r>
          </w:p>
        </w:tc>
        <w:tc>
          <w:tcPr>
            <w:tcW w:w="794" w:type="dxa"/>
          </w:tcPr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11</w:t>
            </w:r>
          </w:p>
        </w:tc>
        <w:tc>
          <w:tcPr>
            <w:tcW w:w="1928" w:type="dxa"/>
          </w:tcPr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DF4D51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Sachbearbeiter/-in</w:t>
            </w:r>
            <w:r w:rsidR="003F3464" w:rsidRPr="003F3464">
              <w:rPr>
                <w:sz w:val="20"/>
                <w:szCs w:val="20"/>
              </w:rPr>
              <w:t xml:space="preserve"> BEM</w:t>
            </w:r>
          </w:p>
        </w:tc>
        <w:tc>
          <w:tcPr>
            <w:tcW w:w="737" w:type="dxa"/>
            <w:shd w:val="pct12" w:color="auto" w:fill="FFFFFF"/>
          </w:tcPr>
          <w:p w:rsidR="003F3464" w:rsidRDefault="003F3464" w:rsidP="003F3464">
            <w:pPr>
              <w:rPr>
                <w:sz w:val="20"/>
              </w:rPr>
            </w:pPr>
          </w:p>
          <w:p w:rsidR="003F3464" w:rsidRPr="006E0575" w:rsidRDefault="003F3464" w:rsidP="003F3464">
            <w:pPr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134" w:type="dxa"/>
          </w:tcPr>
          <w:p w:rsidR="003F3464" w:rsidRDefault="003F3464" w:rsidP="003F3464">
            <w:pPr>
              <w:rPr>
                <w:sz w:val="20"/>
              </w:rPr>
            </w:pPr>
          </w:p>
          <w:p w:rsidR="003F3464" w:rsidRPr="006E0575" w:rsidRDefault="003F3464" w:rsidP="003F346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3F3464" w:rsidRDefault="003F3464" w:rsidP="003F3464">
            <w:pPr>
              <w:rPr>
                <w:sz w:val="20"/>
              </w:rPr>
            </w:pPr>
          </w:p>
          <w:p w:rsidR="003F3464" w:rsidRPr="006E0575" w:rsidRDefault="00B4233C" w:rsidP="003F3464">
            <w:pPr>
              <w:rPr>
                <w:sz w:val="20"/>
              </w:rPr>
            </w:pPr>
            <w:r>
              <w:rPr>
                <w:sz w:val="20"/>
              </w:rPr>
              <w:t>356.040</w:t>
            </w:r>
          </w:p>
        </w:tc>
      </w:tr>
      <w:tr w:rsidR="003F3464" w:rsidRPr="006E0575" w:rsidTr="003F3464">
        <w:tc>
          <w:tcPr>
            <w:tcW w:w="1814" w:type="dxa"/>
          </w:tcPr>
          <w:p w:rsid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  <w:r w:rsidRPr="003F346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R-AGS2"/>
                  </w:textInput>
                </w:ffData>
              </w:fldChar>
            </w:r>
            <w:r w:rsidRPr="003F3464">
              <w:rPr>
                <w:sz w:val="20"/>
                <w:szCs w:val="20"/>
              </w:rPr>
              <w:instrText xml:space="preserve"> FORMTEXT </w:instrText>
            </w:r>
            <w:r w:rsidRPr="003F3464">
              <w:rPr>
                <w:sz w:val="20"/>
                <w:szCs w:val="20"/>
              </w:rPr>
            </w:r>
            <w:r w:rsidRPr="003F3464">
              <w:rPr>
                <w:sz w:val="20"/>
                <w:szCs w:val="20"/>
              </w:rPr>
              <w:fldChar w:fldCharType="separate"/>
            </w:r>
            <w:r w:rsidR="002128F5">
              <w:rPr>
                <w:noProof/>
                <w:sz w:val="20"/>
                <w:szCs w:val="20"/>
              </w:rPr>
              <w:t>AKR-AGS2</w:t>
            </w:r>
            <w:r w:rsidRPr="003F3464">
              <w:rPr>
                <w:sz w:val="20"/>
                <w:szCs w:val="20"/>
              </w:rPr>
              <w:fldChar w:fldCharType="end"/>
            </w: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  <w:p w:rsidR="003F3464" w:rsidRDefault="003F3464" w:rsidP="003F3464">
            <w:pPr>
              <w:rPr>
                <w:sz w:val="20"/>
                <w:szCs w:val="20"/>
              </w:rPr>
            </w:pPr>
            <w:r w:rsidRPr="003F3464">
              <w:rPr>
                <w:sz w:val="20"/>
                <w:szCs w:val="20"/>
              </w:rPr>
              <w:t>8010</w:t>
            </w:r>
            <w:r w:rsidR="00DF4D51">
              <w:rPr>
                <w:sz w:val="20"/>
                <w:szCs w:val="20"/>
              </w:rPr>
              <w:t xml:space="preserve"> </w:t>
            </w:r>
            <w:r w:rsidRPr="003F3464">
              <w:rPr>
                <w:sz w:val="20"/>
                <w:szCs w:val="20"/>
              </w:rPr>
              <w:t>5210</w:t>
            </w: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DF4D51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Bürgermeisteramt</w:t>
            </w:r>
          </w:p>
        </w:tc>
        <w:tc>
          <w:tcPr>
            <w:tcW w:w="794" w:type="dxa"/>
          </w:tcPr>
          <w:p w:rsid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3F3464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13</w:t>
            </w:r>
          </w:p>
        </w:tc>
        <w:tc>
          <w:tcPr>
            <w:tcW w:w="1928" w:type="dxa"/>
          </w:tcPr>
          <w:p w:rsidR="003F3464" w:rsidRDefault="003F3464" w:rsidP="003F3464">
            <w:pPr>
              <w:rPr>
                <w:sz w:val="20"/>
                <w:szCs w:val="20"/>
              </w:rPr>
            </w:pPr>
          </w:p>
          <w:p w:rsidR="003F3464" w:rsidRPr="003F3464" w:rsidRDefault="00DF4D51" w:rsidP="003F3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Teamleiter/-in</w:t>
            </w:r>
            <w:r w:rsidR="003F3464">
              <w:rPr>
                <w:sz w:val="20"/>
                <w:szCs w:val="20"/>
              </w:rPr>
              <w:t xml:space="preserve"> BEM</w:t>
            </w:r>
          </w:p>
        </w:tc>
        <w:tc>
          <w:tcPr>
            <w:tcW w:w="737" w:type="dxa"/>
            <w:shd w:val="pct12" w:color="auto" w:fill="FFFFFF"/>
          </w:tcPr>
          <w:p w:rsidR="003F3464" w:rsidRDefault="003F3464" w:rsidP="003F3464">
            <w:pPr>
              <w:rPr>
                <w:sz w:val="20"/>
              </w:rPr>
            </w:pPr>
          </w:p>
          <w:p w:rsidR="003F3464" w:rsidRDefault="003F3464" w:rsidP="003F346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3F3464" w:rsidRDefault="003F3464" w:rsidP="003F346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F3464" w:rsidRDefault="003F3464" w:rsidP="003F3464">
            <w:pPr>
              <w:rPr>
                <w:sz w:val="20"/>
              </w:rPr>
            </w:pPr>
          </w:p>
          <w:p w:rsidR="00B4233C" w:rsidRDefault="00B4233C" w:rsidP="003F3464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8471E" w:rsidRDefault="00B4233C" w:rsidP="00B4233C">
      <w:r>
        <w:t>Geschaffen werden</w:t>
      </w:r>
      <w:r w:rsidR="003F3464">
        <w:t xml:space="preserve"> insgesamt 5,6 Stellen für das Sachgebiet „Betriebliches Gesundheitsmanagement und Sozialberatung“ </w:t>
      </w:r>
      <w:r w:rsidR="0007039D">
        <w:t>(</w:t>
      </w:r>
      <w:r w:rsidR="003F3464">
        <w:t>AKR-AGS</w:t>
      </w:r>
      <w:r w:rsidR="004F2F06">
        <w:t xml:space="preserve"> </w:t>
      </w:r>
      <w:r w:rsidR="003F3464">
        <w:t>2</w:t>
      </w:r>
      <w:r w:rsidR="0007039D">
        <w:t>)</w:t>
      </w:r>
      <w:r w:rsidR="003F3464">
        <w:t xml:space="preserve"> der Referatsabteilung „Arbeitsmedizinischer Dienst, Betriebliches Gesundheitsmanagement und Sozialberatung“.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3F3464" w:rsidP="00FA69B8">
      <w:r>
        <w:t xml:space="preserve">Grundlage für die Stellenschaffungen </w:t>
      </w:r>
      <w:r w:rsidR="004F2F06">
        <w:t>ist</w:t>
      </w:r>
      <w:r>
        <w:t xml:space="preserve"> das Kriterium „Erfüllung </w:t>
      </w:r>
      <w:r w:rsidRPr="006659D3">
        <w:t>zwingender gesetzl</w:t>
      </w:r>
      <w:r w:rsidR="004F2F06">
        <w:t>iche</w:t>
      </w:r>
      <w:r w:rsidRPr="006659D3">
        <w:t xml:space="preserve"> Vorschriften bzw. tariflicher Vereinbarungen</w:t>
      </w:r>
      <w:r>
        <w:t>“.</w:t>
      </w:r>
      <w:r w:rsidRPr="006659D3">
        <w:t xml:space="preserve"> </w:t>
      </w:r>
    </w:p>
    <w:p w:rsidR="003D7B0B" w:rsidRDefault="003D7B0B" w:rsidP="004F2F06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4F2F06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07039D" w:rsidRDefault="0007039D" w:rsidP="004F2F06">
      <w:pPr>
        <w:spacing w:line="312" w:lineRule="auto"/>
      </w:pPr>
    </w:p>
    <w:p w:rsidR="00477532" w:rsidRDefault="0007039D" w:rsidP="004F2F06">
      <w:pPr>
        <w:spacing w:line="312" w:lineRule="auto"/>
      </w:pPr>
      <w:r>
        <w:t xml:space="preserve">Es wird auf den Vortrag von </w:t>
      </w:r>
      <w:r w:rsidR="004F2F06">
        <w:t>AKR-</w:t>
      </w:r>
      <w:r>
        <w:t>AGS 2 im Personalbeirat am 29. September 2020 verwiesen.</w:t>
      </w:r>
    </w:p>
    <w:p w:rsidR="0048471E" w:rsidRDefault="0048471E" w:rsidP="004F2F06"/>
    <w:p w:rsidR="003D7B0B" w:rsidRPr="00165C0D" w:rsidRDefault="003D7B0B" w:rsidP="004F2F06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4F2F06"/>
    <w:p w:rsidR="0007039D" w:rsidRDefault="0007039D" w:rsidP="004F2F06">
      <w:r w:rsidRPr="00215772">
        <w:t>Der</w:t>
      </w:r>
      <w:r>
        <w:t xml:space="preserve"> g</w:t>
      </w:r>
      <w:r w:rsidRPr="00215772">
        <w:t>esetzliche Auftrag des Betrieblichen Eingliederungsmanagements (§ 167 Abs</w:t>
      </w:r>
      <w:r w:rsidR="004F2F06">
        <w:t>.</w:t>
      </w:r>
      <w:r w:rsidRPr="00215772">
        <w:t xml:space="preserve"> 2 SGB IX) wurde </w:t>
      </w:r>
      <w:r>
        <w:t xml:space="preserve">vermutlich bereits seit Erlass des Gesetzes im Mai 2004 </w:t>
      </w:r>
      <w:r w:rsidRPr="00215772">
        <w:t>nicht</w:t>
      </w:r>
      <w:r>
        <w:t xml:space="preserve"> rechtskonform</w:t>
      </w:r>
      <w:r w:rsidRPr="00215772">
        <w:t xml:space="preserve"> erfüllt. </w:t>
      </w:r>
      <w:r>
        <w:t>Mit 1,75 (bis August 2020) bzw. 2,15 Vollzeitstellen (seit Sept</w:t>
      </w:r>
      <w:r w:rsidR="004F2F06">
        <w:t>.</w:t>
      </w:r>
      <w:r>
        <w:t xml:space="preserve"> 2020) für alle Beschäftigten der LHS war und ist eine rechtssichere Durchführung nicht zu leisten. </w:t>
      </w:r>
    </w:p>
    <w:p w:rsidR="003D7B0B" w:rsidRDefault="006E0575" w:rsidP="004F2F06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A84308" w:rsidRDefault="00A84308" w:rsidP="004F2F06">
      <w:pPr>
        <w:spacing w:line="312" w:lineRule="auto"/>
      </w:pPr>
    </w:p>
    <w:p w:rsidR="00A84308" w:rsidRDefault="00A84308" w:rsidP="004F2F06">
      <w:r>
        <w:t>Die hohen Ausfallzahlen bedeuten eine überproportionale Mehrbelastung der verbleibenden Beschäftigten und beschleunigen den stellenweise bereits bestehenden Teufelskreis der Erschöpfung und Überforderung. Gesetzliche Vorgaben können weiterhin nicht eingehalten</w:t>
      </w:r>
      <w:r w:rsidR="002128F5">
        <w:t xml:space="preserve"> werden</w:t>
      </w:r>
      <w:bookmarkStart w:id="0" w:name="_GoBack"/>
      <w:bookmarkEnd w:id="0"/>
      <w:r>
        <w:t xml:space="preserve">, was ggf. zu gerichtlichen Eskalationen gegen die </w:t>
      </w:r>
      <w:r w:rsidR="004F2F06">
        <w:t>Landeshauptstadt Stuttgart</w:t>
      </w:r>
      <w:r>
        <w:t xml:space="preserve"> als Arbeitgeber führen kann. Interne Dienstvereinbar</w:t>
      </w:r>
      <w:r w:rsidR="004F2F06">
        <w:t xml:space="preserve">ungen werden dauerhaft verletzt bzw. </w:t>
      </w:r>
      <w:r>
        <w:t>nic</w:t>
      </w:r>
      <w:r w:rsidR="004F2F06">
        <w:t>ht eingehalten (DV BEM, DV BGF)</w:t>
      </w:r>
      <w:r>
        <w:t xml:space="preserve">. </w:t>
      </w:r>
    </w:p>
    <w:p w:rsidR="003D7B0B" w:rsidRDefault="00884D6C" w:rsidP="004F2F06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4F2F06"/>
    <w:p w:rsidR="00DE362D" w:rsidRDefault="00E34A45" w:rsidP="004F2F06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128F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14D83"/>
    <w:multiLevelType w:val="hybridMultilevel"/>
    <w:tmpl w:val="2D24142A"/>
    <w:lvl w:ilvl="0" w:tplc="97622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BE6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7039D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E6949"/>
    <w:rsid w:val="001F7237"/>
    <w:rsid w:val="002128F5"/>
    <w:rsid w:val="0024144F"/>
    <w:rsid w:val="002421B2"/>
    <w:rsid w:val="002924CB"/>
    <w:rsid w:val="002A20D1"/>
    <w:rsid w:val="002A4DE3"/>
    <w:rsid w:val="002A5BCD"/>
    <w:rsid w:val="002B5955"/>
    <w:rsid w:val="00302753"/>
    <w:rsid w:val="0030686C"/>
    <w:rsid w:val="00380937"/>
    <w:rsid w:val="003841CC"/>
    <w:rsid w:val="00397717"/>
    <w:rsid w:val="003A65C8"/>
    <w:rsid w:val="003B3334"/>
    <w:rsid w:val="003D7B0B"/>
    <w:rsid w:val="003F0FAA"/>
    <w:rsid w:val="003F3464"/>
    <w:rsid w:val="0046522D"/>
    <w:rsid w:val="00470135"/>
    <w:rsid w:val="0047606A"/>
    <w:rsid w:val="00477532"/>
    <w:rsid w:val="0048471E"/>
    <w:rsid w:val="004908B5"/>
    <w:rsid w:val="0049121B"/>
    <w:rsid w:val="004A1688"/>
    <w:rsid w:val="004B6796"/>
    <w:rsid w:val="004B6F32"/>
    <w:rsid w:val="004F2F06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72799A"/>
    <w:rsid w:val="00754659"/>
    <w:rsid w:val="00790009"/>
    <w:rsid w:val="007B69CD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76588"/>
    <w:rsid w:val="00976C70"/>
    <w:rsid w:val="009C44A4"/>
    <w:rsid w:val="009E6633"/>
    <w:rsid w:val="00A27CA7"/>
    <w:rsid w:val="00A45B30"/>
    <w:rsid w:val="00A71D0A"/>
    <w:rsid w:val="00A77F1E"/>
    <w:rsid w:val="00A84308"/>
    <w:rsid w:val="00A847C4"/>
    <w:rsid w:val="00A953E4"/>
    <w:rsid w:val="00AB389D"/>
    <w:rsid w:val="00AE7B02"/>
    <w:rsid w:val="00AF0DEA"/>
    <w:rsid w:val="00AF25E0"/>
    <w:rsid w:val="00B04290"/>
    <w:rsid w:val="00B4233C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66D3A"/>
    <w:rsid w:val="00D743D4"/>
    <w:rsid w:val="00DB3D6C"/>
    <w:rsid w:val="00DE362D"/>
    <w:rsid w:val="00DF4D51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D062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225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9</cp:revision>
  <cp:lastPrinted>2021-10-04T05:47:00Z</cp:lastPrinted>
  <dcterms:created xsi:type="dcterms:W3CDTF">2021-07-28T05:02:00Z</dcterms:created>
  <dcterms:modified xsi:type="dcterms:W3CDTF">2021-10-04T05:48:00Z</dcterms:modified>
</cp:coreProperties>
</file>