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1D1EBF">
      <w:pPr>
        <w:ind w:left="4963"/>
        <w:jc w:val="center"/>
      </w:pPr>
      <w:r w:rsidRPr="006E0575">
        <w:t xml:space="preserve">Anlage </w:t>
      </w:r>
      <w:r w:rsidR="00E11E3A">
        <w:t>15</w:t>
      </w:r>
      <w:r w:rsidRPr="006E0575">
        <w:t xml:space="preserve"> zur GRDrs </w:t>
      </w:r>
      <w:r w:rsidR="00E11E3A">
        <w:t>701</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C643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03296">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A02FC9" w:rsidRPr="006E0575" w:rsidTr="00D03296">
        <w:tc>
          <w:tcPr>
            <w:tcW w:w="1814" w:type="dxa"/>
          </w:tcPr>
          <w:p w:rsidR="00A02FC9" w:rsidRDefault="00A02FC9" w:rsidP="00A02FC9">
            <w:pPr>
              <w:rPr>
                <w:sz w:val="20"/>
              </w:rPr>
            </w:pPr>
          </w:p>
          <w:p w:rsidR="00A02FC9" w:rsidRDefault="00A02FC9" w:rsidP="00A02FC9">
            <w:pPr>
              <w:rPr>
                <w:sz w:val="20"/>
              </w:rPr>
            </w:pPr>
            <w:r>
              <w:rPr>
                <w:sz w:val="20"/>
              </w:rPr>
              <w:t>10-5.3</w:t>
            </w:r>
          </w:p>
          <w:p w:rsidR="00A02FC9" w:rsidRDefault="00A02FC9" w:rsidP="00A02FC9">
            <w:pPr>
              <w:rPr>
                <w:sz w:val="20"/>
              </w:rPr>
            </w:pPr>
          </w:p>
          <w:p w:rsidR="00A02FC9" w:rsidRDefault="00A02FC9" w:rsidP="00A02FC9">
            <w:pPr>
              <w:rPr>
                <w:sz w:val="20"/>
              </w:rPr>
            </w:pPr>
            <w:r>
              <w:rPr>
                <w:sz w:val="20"/>
              </w:rPr>
              <w:t>1053</w:t>
            </w:r>
            <w:r w:rsidR="00692691">
              <w:rPr>
                <w:sz w:val="20"/>
              </w:rPr>
              <w:t xml:space="preserve"> </w:t>
            </w:r>
            <w:r>
              <w:rPr>
                <w:sz w:val="20"/>
              </w:rPr>
              <w:t>5000</w:t>
            </w:r>
          </w:p>
          <w:p w:rsidR="00A02FC9" w:rsidRPr="006E0575" w:rsidRDefault="00A02FC9" w:rsidP="00A02FC9">
            <w:pPr>
              <w:rPr>
                <w:sz w:val="20"/>
              </w:rPr>
            </w:pPr>
          </w:p>
        </w:tc>
        <w:tc>
          <w:tcPr>
            <w:tcW w:w="1701" w:type="dxa"/>
          </w:tcPr>
          <w:p w:rsidR="00A02FC9" w:rsidRDefault="00A02FC9" w:rsidP="00A02FC9">
            <w:pPr>
              <w:rPr>
                <w:sz w:val="20"/>
              </w:rPr>
            </w:pPr>
          </w:p>
          <w:p w:rsidR="00A02FC9" w:rsidRPr="006E0575" w:rsidRDefault="00A02FC9" w:rsidP="00A02FC9">
            <w:pPr>
              <w:rPr>
                <w:sz w:val="20"/>
              </w:rPr>
            </w:pPr>
            <w:r>
              <w:rPr>
                <w:sz w:val="20"/>
              </w:rPr>
              <w:t>Haupt- und Personalamt</w:t>
            </w:r>
          </w:p>
        </w:tc>
        <w:tc>
          <w:tcPr>
            <w:tcW w:w="794" w:type="dxa"/>
          </w:tcPr>
          <w:p w:rsidR="00A02FC9" w:rsidRDefault="00A02FC9" w:rsidP="00A02FC9">
            <w:pPr>
              <w:rPr>
                <w:sz w:val="20"/>
              </w:rPr>
            </w:pPr>
          </w:p>
          <w:p w:rsidR="00A02FC9" w:rsidRPr="006E0575" w:rsidRDefault="00273202" w:rsidP="00A02FC9">
            <w:pPr>
              <w:rPr>
                <w:sz w:val="20"/>
              </w:rPr>
            </w:pPr>
            <w:r>
              <w:rPr>
                <w:sz w:val="20"/>
              </w:rPr>
              <w:t>EG</w:t>
            </w:r>
            <w:r w:rsidR="00A02FC9">
              <w:rPr>
                <w:sz w:val="20"/>
              </w:rPr>
              <w:t xml:space="preserve"> 8</w:t>
            </w:r>
          </w:p>
        </w:tc>
        <w:tc>
          <w:tcPr>
            <w:tcW w:w="1928" w:type="dxa"/>
          </w:tcPr>
          <w:p w:rsidR="00A02FC9" w:rsidRDefault="00A02FC9" w:rsidP="00A02FC9">
            <w:pPr>
              <w:rPr>
                <w:sz w:val="20"/>
              </w:rPr>
            </w:pPr>
          </w:p>
          <w:p w:rsidR="00A02FC9" w:rsidRPr="006E0575" w:rsidRDefault="00692691" w:rsidP="00A02FC9">
            <w:pPr>
              <w:rPr>
                <w:sz w:val="20"/>
              </w:rPr>
            </w:pPr>
            <w:r>
              <w:rPr>
                <w:sz w:val="20"/>
              </w:rPr>
              <w:t>Sachbearbeiter/-in</w:t>
            </w:r>
            <w:r w:rsidR="00A02FC9">
              <w:rPr>
                <w:sz w:val="20"/>
              </w:rPr>
              <w:t xml:space="preserve"> Bezügeabrechnung</w:t>
            </w:r>
          </w:p>
        </w:tc>
        <w:tc>
          <w:tcPr>
            <w:tcW w:w="737" w:type="dxa"/>
            <w:shd w:val="pct12" w:color="auto" w:fill="FFFFFF"/>
          </w:tcPr>
          <w:p w:rsidR="00A02FC9" w:rsidRPr="00BB0DE5" w:rsidRDefault="00A02FC9" w:rsidP="00A02FC9">
            <w:pPr>
              <w:rPr>
                <w:color w:val="000000" w:themeColor="text1"/>
                <w:sz w:val="20"/>
              </w:rPr>
            </w:pPr>
          </w:p>
          <w:p w:rsidR="00A02FC9" w:rsidRPr="00BB0DE5" w:rsidRDefault="00A02FC9" w:rsidP="00A02FC9">
            <w:pPr>
              <w:rPr>
                <w:color w:val="000000" w:themeColor="text1"/>
                <w:sz w:val="20"/>
              </w:rPr>
            </w:pPr>
            <w:r>
              <w:rPr>
                <w:color w:val="000000" w:themeColor="text1"/>
                <w:sz w:val="20"/>
              </w:rPr>
              <w:t>1,2</w:t>
            </w:r>
          </w:p>
        </w:tc>
        <w:tc>
          <w:tcPr>
            <w:tcW w:w="1134" w:type="dxa"/>
          </w:tcPr>
          <w:p w:rsidR="00A02FC9" w:rsidRDefault="00A02FC9" w:rsidP="00A02FC9">
            <w:pPr>
              <w:rPr>
                <w:sz w:val="20"/>
              </w:rPr>
            </w:pPr>
          </w:p>
          <w:p w:rsidR="00A02FC9" w:rsidRPr="006E0575" w:rsidRDefault="00A02FC9" w:rsidP="00692691">
            <w:pPr>
              <w:rPr>
                <w:sz w:val="20"/>
              </w:rPr>
            </w:pPr>
            <w:r>
              <w:rPr>
                <w:sz w:val="20"/>
              </w:rPr>
              <w:t>KW</w:t>
            </w:r>
            <w:r w:rsidR="00692691">
              <w:rPr>
                <w:sz w:val="20"/>
              </w:rPr>
              <w:t xml:space="preserve"> </w:t>
            </w:r>
            <w:r>
              <w:rPr>
                <w:sz w:val="20"/>
              </w:rPr>
              <w:t>01/</w:t>
            </w:r>
            <w:r w:rsidR="00692691">
              <w:rPr>
                <w:sz w:val="20"/>
              </w:rPr>
              <w:t>20</w:t>
            </w:r>
            <w:r>
              <w:rPr>
                <w:sz w:val="20"/>
              </w:rPr>
              <w:t>24</w:t>
            </w:r>
          </w:p>
        </w:tc>
        <w:tc>
          <w:tcPr>
            <w:tcW w:w="1417" w:type="dxa"/>
          </w:tcPr>
          <w:p w:rsidR="00A02FC9" w:rsidRDefault="00A02FC9" w:rsidP="00A02FC9">
            <w:pPr>
              <w:rPr>
                <w:sz w:val="20"/>
              </w:rPr>
            </w:pPr>
          </w:p>
          <w:p w:rsidR="00E11E3A" w:rsidRPr="006E0575" w:rsidRDefault="00273202" w:rsidP="00A02FC9">
            <w:pPr>
              <w:rPr>
                <w:sz w:val="20"/>
              </w:rPr>
            </w:pPr>
            <w:r>
              <w:rPr>
                <w:sz w:val="20"/>
              </w:rPr>
              <w:t>66.480</w:t>
            </w:r>
          </w:p>
        </w:tc>
      </w:tr>
      <w:tr w:rsidR="00A02FC9" w:rsidRPr="006E0575" w:rsidTr="00D03296">
        <w:tc>
          <w:tcPr>
            <w:tcW w:w="1814" w:type="dxa"/>
          </w:tcPr>
          <w:p w:rsidR="00A02FC9" w:rsidRDefault="00A02FC9" w:rsidP="00A02FC9">
            <w:pPr>
              <w:rPr>
                <w:sz w:val="20"/>
              </w:rPr>
            </w:pPr>
          </w:p>
          <w:p w:rsidR="00A02FC9" w:rsidRDefault="00A02FC9" w:rsidP="00A02FC9">
            <w:pPr>
              <w:rPr>
                <w:sz w:val="20"/>
              </w:rPr>
            </w:pPr>
            <w:r>
              <w:rPr>
                <w:sz w:val="20"/>
              </w:rPr>
              <w:t>10-5.3</w:t>
            </w:r>
          </w:p>
          <w:p w:rsidR="00A02FC9" w:rsidRDefault="00A02FC9" w:rsidP="00A02FC9">
            <w:pPr>
              <w:rPr>
                <w:sz w:val="20"/>
              </w:rPr>
            </w:pPr>
          </w:p>
          <w:p w:rsidR="00A02FC9" w:rsidRDefault="00A02FC9" w:rsidP="00A02FC9">
            <w:pPr>
              <w:rPr>
                <w:sz w:val="20"/>
              </w:rPr>
            </w:pPr>
            <w:r>
              <w:rPr>
                <w:sz w:val="20"/>
              </w:rPr>
              <w:t>1053</w:t>
            </w:r>
            <w:r w:rsidR="00692691">
              <w:rPr>
                <w:sz w:val="20"/>
              </w:rPr>
              <w:t xml:space="preserve"> </w:t>
            </w:r>
            <w:r>
              <w:rPr>
                <w:sz w:val="20"/>
              </w:rPr>
              <w:t>5000</w:t>
            </w:r>
          </w:p>
          <w:p w:rsidR="00A02FC9" w:rsidRPr="006E0575" w:rsidRDefault="00A02FC9" w:rsidP="00A02FC9">
            <w:pPr>
              <w:rPr>
                <w:sz w:val="20"/>
              </w:rPr>
            </w:pPr>
          </w:p>
        </w:tc>
        <w:tc>
          <w:tcPr>
            <w:tcW w:w="1701" w:type="dxa"/>
          </w:tcPr>
          <w:p w:rsidR="00A02FC9" w:rsidRDefault="00A02FC9" w:rsidP="00A02FC9">
            <w:pPr>
              <w:rPr>
                <w:sz w:val="20"/>
              </w:rPr>
            </w:pPr>
          </w:p>
          <w:p w:rsidR="00A02FC9" w:rsidRPr="006E0575" w:rsidRDefault="00A02FC9" w:rsidP="00A02FC9">
            <w:pPr>
              <w:rPr>
                <w:sz w:val="20"/>
              </w:rPr>
            </w:pPr>
            <w:r>
              <w:rPr>
                <w:sz w:val="20"/>
              </w:rPr>
              <w:t>Haupt- und Personalamt</w:t>
            </w:r>
          </w:p>
        </w:tc>
        <w:tc>
          <w:tcPr>
            <w:tcW w:w="794" w:type="dxa"/>
          </w:tcPr>
          <w:p w:rsidR="00A02FC9" w:rsidRDefault="00A02FC9" w:rsidP="00A02FC9">
            <w:pPr>
              <w:rPr>
                <w:sz w:val="20"/>
              </w:rPr>
            </w:pPr>
          </w:p>
          <w:p w:rsidR="00A02FC9" w:rsidRPr="006E0575" w:rsidRDefault="00A02FC9" w:rsidP="00A02FC9">
            <w:pPr>
              <w:rPr>
                <w:sz w:val="20"/>
              </w:rPr>
            </w:pPr>
            <w:r>
              <w:rPr>
                <w:sz w:val="20"/>
              </w:rPr>
              <w:t>A 8</w:t>
            </w:r>
          </w:p>
        </w:tc>
        <w:tc>
          <w:tcPr>
            <w:tcW w:w="1928" w:type="dxa"/>
          </w:tcPr>
          <w:p w:rsidR="00A02FC9" w:rsidRDefault="00A02FC9" w:rsidP="00A02FC9">
            <w:pPr>
              <w:rPr>
                <w:sz w:val="20"/>
              </w:rPr>
            </w:pPr>
          </w:p>
          <w:p w:rsidR="00A02FC9" w:rsidRPr="006E0575" w:rsidRDefault="00692691" w:rsidP="00A02FC9">
            <w:pPr>
              <w:rPr>
                <w:sz w:val="20"/>
              </w:rPr>
            </w:pPr>
            <w:r>
              <w:rPr>
                <w:sz w:val="20"/>
              </w:rPr>
              <w:t>Sachbearbeiter/-in</w:t>
            </w:r>
            <w:r w:rsidR="00A02FC9">
              <w:rPr>
                <w:sz w:val="20"/>
              </w:rPr>
              <w:t xml:space="preserve"> Bezügeabrechnung</w:t>
            </w:r>
          </w:p>
        </w:tc>
        <w:tc>
          <w:tcPr>
            <w:tcW w:w="737" w:type="dxa"/>
            <w:shd w:val="pct12" w:color="auto" w:fill="FFFFFF"/>
          </w:tcPr>
          <w:p w:rsidR="00A02FC9" w:rsidRPr="00BB0DE5" w:rsidRDefault="00A02FC9" w:rsidP="00A02FC9">
            <w:pPr>
              <w:rPr>
                <w:color w:val="000000" w:themeColor="text1"/>
                <w:sz w:val="20"/>
              </w:rPr>
            </w:pPr>
          </w:p>
          <w:p w:rsidR="00A02FC9" w:rsidRPr="00BB0DE5" w:rsidRDefault="00A02FC9" w:rsidP="00A02FC9">
            <w:pPr>
              <w:rPr>
                <w:color w:val="000000" w:themeColor="text1"/>
                <w:sz w:val="20"/>
              </w:rPr>
            </w:pPr>
            <w:r>
              <w:rPr>
                <w:color w:val="000000" w:themeColor="text1"/>
                <w:sz w:val="20"/>
              </w:rPr>
              <w:t>0,8</w:t>
            </w:r>
          </w:p>
        </w:tc>
        <w:tc>
          <w:tcPr>
            <w:tcW w:w="1134" w:type="dxa"/>
          </w:tcPr>
          <w:p w:rsidR="00A02FC9" w:rsidRDefault="00A02FC9" w:rsidP="00A02FC9">
            <w:pPr>
              <w:rPr>
                <w:sz w:val="20"/>
              </w:rPr>
            </w:pPr>
          </w:p>
        </w:tc>
        <w:tc>
          <w:tcPr>
            <w:tcW w:w="1417" w:type="dxa"/>
          </w:tcPr>
          <w:p w:rsidR="00A02FC9" w:rsidRDefault="00A02FC9" w:rsidP="00A02FC9">
            <w:pPr>
              <w:rPr>
                <w:sz w:val="20"/>
              </w:rPr>
            </w:pPr>
          </w:p>
          <w:p w:rsidR="00E11E3A" w:rsidRPr="006E0575" w:rsidRDefault="00273202" w:rsidP="00273202">
            <w:pPr>
              <w:rPr>
                <w:sz w:val="20"/>
              </w:rPr>
            </w:pPr>
            <w:r>
              <w:rPr>
                <w:sz w:val="20"/>
              </w:rPr>
              <w:t>61.760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A02FC9" w:rsidRDefault="00A02FC9" w:rsidP="00A02FC9"/>
    <w:p w:rsidR="00A02FC9" w:rsidRDefault="006B186F" w:rsidP="00A02FC9">
      <w:r>
        <w:t>Aufgrund der</w:t>
      </w:r>
      <w:r w:rsidR="00A02FC9">
        <w:t xml:space="preserve"> </w:t>
      </w:r>
      <w:r>
        <w:t xml:space="preserve">hohen </w:t>
      </w:r>
      <w:r w:rsidR="00A02FC9">
        <w:t>Arbeitsbelastung im Bereich Bezügeabrechnung werden über die Berechnung anhand des aktuellen Stellenschlüssels i.</w:t>
      </w:r>
      <w:r w:rsidR="00692691">
        <w:t xml:space="preserve"> </w:t>
      </w:r>
      <w:r w:rsidR="00A02FC9">
        <w:t>H.</w:t>
      </w:r>
      <w:r w:rsidR="00692691">
        <w:t xml:space="preserve"> </w:t>
      </w:r>
      <w:r w:rsidR="00A02FC9">
        <w:t>v. 1:640 (Stichtag 30.6.21) hinaus</w:t>
      </w:r>
      <w:r>
        <w:t>,</w:t>
      </w:r>
      <w:r w:rsidR="00A02FC9">
        <w:t xml:space="preserve"> insgesamt 2,0 Stellen für </w:t>
      </w:r>
      <w:r w:rsidR="00A02FC9" w:rsidRPr="00D0486D">
        <w:t xml:space="preserve">Bezügeabrechner/-innen </w:t>
      </w:r>
      <w:r w:rsidR="00A02FC9">
        <w:t>beantragt.</w:t>
      </w:r>
    </w:p>
    <w:p w:rsidR="003D7B0B" w:rsidRDefault="003D7B0B" w:rsidP="00A02FC9">
      <w:pPr>
        <w:pStyle w:val="berschrift1"/>
      </w:pPr>
      <w:r>
        <w:t>2</w:t>
      </w:r>
      <w:r>
        <w:tab/>
        <w:t>Schaffun</w:t>
      </w:r>
      <w:r w:rsidRPr="00884D6C">
        <w:rPr>
          <w:u w:val="none"/>
        </w:rPr>
        <w:t>g</w:t>
      </w:r>
      <w:r>
        <w:t>skriterien</w:t>
      </w:r>
    </w:p>
    <w:p w:rsidR="00FA69B8" w:rsidRDefault="00FA69B8" w:rsidP="00FA69B8"/>
    <w:p w:rsidR="00A02FC9" w:rsidRDefault="00A02FC9" w:rsidP="00A02FC9">
      <w:r w:rsidRPr="00D0486D">
        <w:t>Die 1,</w:t>
      </w:r>
      <w:r>
        <w:t>2</w:t>
      </w:r>
      <w:r w:rsidRPr="00D0486D">
        <w:t xml:space="preserve"> Stellen, die über den bestehenden Schlüssel hinaus zur Schaffung vorgeschlagen werden, erhalten einen KW-Vermerk 01/2024. Bis zum</w:t>
      </w:r>
      <w:r>
        <w:t xml:space="preserve"> nächsten Stellenplanverfahren 2024/2025 ist eine ergebnisoffene Überprüfung des Bereichs durchzuführen.</w:t>
      </w:r>
    </w:p>
    <w:p w:rsidR="00A02FC9" w:rsidRDefault="00A02FC9" w:rsidP="00A02FC9"/>
    <w:p w:rsidR="00A02FC9" w:rsidRDefault="00A02FC9" w:rsidP="00A02FC9">
      <w:r w:rsidRPr="00D0486D">
        <w:t xml:space="preserve">Die </w:t>
      </w:r>
      <w:r>
        <w:t xml:space="preserve">0,8 </w:t>
      </w:r>
      <w:r w:rsidRPr="00D0486D">
        <w:t>Stellenanteile</w:t>
      </w:r>
      <w:r>
        <w:t xml:space="preserve">, </w:t>
      </w:r>
      <w:r w:rsidRPr="00D0486D">
        <w:t xml:space="preserve">die auf Basis des Schlüssels geschaffen werden, sind unbefristet. </w:t>
      </w:r>
    </w:p>
    <w:p w:rsidR="003D7B0B" w:rsidRDefault="003D7B0B" w:rsidP="00884D6C">
      <w:pPr>
        <w:pStyle w:val="berschrift1"/>
      </w:pPr>
      <w:r>
        <w:t>3</w:t>
      </w:r>
      <w:r>
        <w:tab/>
        <w:t>Bedarf</w:t>
      </w:r>
    </w:p>
    <w:p w:rsidR="00AE39A6" w:rsidRPr="00884D6C" w:rsidRDefault="00AE39A6" w:rsidP="00AE39A6">
      <w:pPr>
        <w:pStyle w:val="berschrift2"/>
      </w:pPr>
      <w:r w:rsidRPr="00884D6C">
        <w:t>3.1</w:t>
      </w:r>
      <w:r w:rsidRPr="00884D6C">
        <w:tab/>
        <w:t>Anlass</w:t>
      </w:r>
    </w:p>
    <w:p w:rsidR="00AE39A6" w:rsidRDefault="00AE39A6" w:rsidP="00AE39A6"/>
    <w:p w:rsidR="00A02FC9" w:rsidRDefault="00A02FC9" w:rsidP="00A02FC9">
      <w:r w:rsidRPr="00BB0DE5">
        <w:t xml:space="preserve">Der aktuelle Stellenschlüssel der Bezügeabrechnung beträgt 1:640. Aufgrund steigender gesetzlicher Anforderungen im Bereich der sog. maschinellen Meldungen (EEL, </w:t>
      </w:r>
      <w:proofErr w:type="spellStart"/>
      <w:r w:rsidRPr="00BB0DE5">
        <w:t>ElStam</w:t>
      </w:r>
      <w:proofErr w:type="spellEnd"/>
      <w:r w:rsidRPr="00BB0DE5">
        <w:t xml:space="preserve">), die in einem kürzeren Turnus veröffentlicht werden, sind die Mitarbeitenden in der Gehaltssachbearbeitung mehr als je zuvor gefordert. Zusätzlich müssen diese zwingend die Einführung neuer Prozesse begleiten in Bezug auf Fehlzeitenmeldungen, Abwesenheiten und Organisationsmanagement, die sich direkt auf ihr Aufgabengebiet </w:t>
      </w:r>
      <w:r w:rsidRPr="00BB0DE5">
        <w:lastRenderedPageBreak/>
        <w:t>auswirken</w:t>
      </w:r>
      <w:r>
        <w:t xml:space="preserve">. </w:t>
      </w:r>
      <w:r w:rsidRPr="00BB0DE5">
        <w:rPr>
          <w:color w:val="000000" w:themeColor="text1"/>
        </w:rPr>
        <w:t xml:space="preserve">Hinzu kommen die steigenden Anforderungen an die lohnsteuer- und sozialversicherungsrechtliche Abwicklung sowie in der Zusatzversorgung. Dadurch ist der Stellenschlüssel von 1:640 nicht mehr zu halten und muss </w:t>
      </w:r>
      <w:r>
        <w:rPr>
          <w:color w:val="000000" w:themeColor="text1"/>
        </w:rPr>
        <w:t xml:space="preserve">bis zum nächsten Stellenplanverfahren </w:t>
      </w:r>
      <w:r w:rsidRPr="00BB0DE5">
        <w:rPr>
          <w:color w:val="000000" w:themeColor="text1"/>
        </w:rPr>
        <w:t xml:space="preserve">überprüft </w:t>
      </w:r>
      <w:bookmarkStart w:id="0" w:name="_GoBack"/>
      <w:bookmarkEnd w:id="0"/>
      <w:r w:rsidRPr="00BB0DE5">
        <w:rPr>
          <w:color w:val="000000" w:themeColor="text1"/>
        </w:rPr>
        <w:t>werden.</w:t>
      </w:r>
    </w:p>
    <w:p w:rsidR="003D7B0B" w:rsidRPr="00165C0D" w:rsidRDefault="003D7B0B" w:rsidP="00A02FC9">
      <w:pPr>
        <w:pStyle w:val="berschrift2"/>
      </w:pPr>
      <w:r w:rsidRPr="00165C0D">
        <w:t>3.2</w:t>
      </w:r>
      <w:r w:rsidRPr="00165C0D">
        <w:tab/>
        <w:t>Bisherige Aufgabenwahrnehmung</w:t>
      </w:r>
    </w:p>
    <w:p w:rsidR="003D7B0B" w:rsidRDefault="003D7B0B" w:rsidP="00884D6C"/>
    <w:p w:rsidR="00AE39A6" w:rsidRDefault="00A02FC9" w:rsidP="00884D6C">
      <w:r>
        <w:t>Die o.</w:t>
      </w:r>
      <w:r w:rsidR="00692691">
        <w:t xml:space="preserve"> </w:t>
      </w:r>
      <w:r>
        <w:t>g. Sachverhalte führen zu einer hohen Arbeitsbelastung der Mitarbeitenden</w:t>
      </w:r>
      <w:r w:rsidR="00633C7C">
        <w:t xml:space="preserve"> und teilweise verzögerter Aufgabenwahrnehmung.</w:t>
      </w:r>
    </w:p>
    <w:p w:rsidR="003D7B0B" w:rsidRDefault="006E0575" w:rsidP="00884D6C">
      <w:pPr>
        <w:pStyle w:val="berschrift2"/>
      </w:pPr>
      <w:r>
        <w:t>3.3</w:t>
      </w:r>
      <w:r w:rsidR="003D7B0B">
        <w:tab/>
        <w:t>Auswirkungen bei Ablehnung der Stellenschaffungen</w:t>
      </w:r>
    </w:p>
    <w:p w:rsidR="003D7B0B" w:rsidRDefault="003D7B0B" w:rsidP="00884D6C"/>
    <w:p w:rsidR="00633C7C" w:rsidRPr="00BB0DE5" w:rsidRDefault="00633C7C" w:rsidP="00633C7C">
      <w:pPr>
        <w:rPr>
          <w:color w:val="000000" w:themeColor="text1"/>
        </w:rPr>
      </w:pPr>
      <w:r w:rsidRPr="00BB0DE5">
        <w:rPr>
          <w:color w:val="000000" w:themeColor="text1"/>
        </w:rPr>
        <w:t xml:space="preserve">Bei Ablehnung der Anträge wird riskiert, dass die Mitarbeitenden in der Gehaltssachbearbeitung überfordert und überlastet werden und dadurch langfristige gesundheitliche Schäden eintreten. Dies beeinträchtigt auch zunehmend die standardmäßige Aufgabenerfüllung in diesem Bereich, was größere finanzielle Folgen im Personalkostenhaushalt nach sich ziehen kann. Vermehrte Gehaltsnachforderungen aufgrund von Überzahlungen der Gehälter sowie das Anfallen von Säumniszuschlägen sind nicht mehr auszuschließen. </w:t>
      </w:r>
    </w:p>
    <w:p w:rsidR="003D7B0B" w:rsidRDefault="00884D6C" w:rsidP="00884D6C">
      <w:pPr>
        <w:pStyle w:val="berschrift1"/>
      </w:pPr>
      <w:r>
        <w:t>4</w:t>
      </w:r>
      <w:r>
        <w:tab/>
      </w:r>
      <w:r w:rsidR="003D7B0B">
        <w:t>Stellenvermerke</w:t>
      </w:r>
    </w:p>
    <w:p w:rsidR="003D7B0B" w:rsidRDefault="003D7B0B" w:rsidP="00884D6C"/>
    <w:p w:rsidR="00DE362D" w:rsidRDefault="00633C7C"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D1" w:rsidRDefault="00650BD1">
      <w:r>
        <w:separator/>
      </w:r>
    </w:p>
  </w:endnote>
  <w:endnote w:type="continuationSeparator" w:id="0">
    <w:p w:rsidR="00650BD1" w:rsidRDefault="0065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D1" w:rsidRDefault="00650BD1">
      <w:r>
        <w:separator/>
      </w:r>
    </w:p>
  </w:footnote>
  <w:footnote w:type="continuationSeparator" w:id="0">
    <w:p w:rsidR="00650BD1" w:rsidRDefault="0065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C70D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86534EF"/>
    <w:multiLevelType w:val="hybridMultilevel"/>
    <w:tmpl w:val="C388EA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3F54E6F"/>
    <w:multiLevelType w:val="hybridMultilevel"/>
    <w:tmpl w:val="0664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29E6D25"/>
    <w:multiLevelType w:val="hybridMultilevel"/>
    <w:tmpl w:val="CEE0E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F8974FA"/>
    <w:multiLevelType w:val="hybridMultilevel"/>
    <w:tmpl w:val="BB08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FB"/>
    <w:rsid w:val="00055758"/>
    <w:rsid w:val="000A1146"/>
    <w:rsid w:val="001034AF"/>
    <w:rsid w:val="0011112B"/>
    <w:rsid w:val="0014415D"/>
    <w:rsid w:val="00151488"/>
    <w:rsid w:val="00163034"/>
    <w:rsid w:val="00164678"/>
    <w:rsid w:val="00165C0D"/>
    <w:rsid w:val="00181857"/>
    <w:rsid w:val="00184EDC"/>
    <w:rsid w:val="00194770"/>
    <w:rsid w:val="001A3323"/>
    <w:rsid w:val="001A5F9B"/>
    <w:rsid w:val="001B2402"/>
    <w:rsid w:val="001C3AD6"/>
    <w:rsid w:val="001D1EBF"/>
    <w:rsid w:val="001F7237"/>
    <w:rsid w:val="0024144F"/>
    <w:rsid w:val="002421B2"/>
    <w:rsid w:val="00273202"/>
    <w:rsid w:val="002924CB"/>
    <w:rsid w:val="002A20D1"/>
    <w:rsid w:val="002A4DE3"/>
    <w:rsid w:val="002A5BCD"/>
    <w:rsid w:val="002B5955"/>
    <w:rsid w:val="0030686C"/>
    <w:rsid w:val="00363BAC"/>
    <w:rsid w:val="00380937"/>
    <w:rsid w:val="003841CC"/>
    <w:rsid w:val="00397717"/>
    <w:rsid w:val="003A65C8"/>
    <w:rsid w:val="003B3334"/>
    <w:rsid w:val="003D7B0B"/>
    <w:rsid w:val="003F0FAA"/>
    <w:rsid w:val="0046522D"/>
    <w:rsid w:val="00470135"/>
    <w:rsid w:val="0047606A"/>
    <w:rsid w:val="00477532"/>
    <w:rsid w:val="0048471E"/>
    <w:rsid w:val="004908B5"/>
    <w:rsid w:val="0049121B"/>
    <w:rsid w:val="004A1688"/>
    <w:rsid w:val="004B6796"/>
    <w:rsid w:val="004B6F32"/>
    <w:rsid w:val="00541864"/>
    <w:rsid w:val="00574A7E"/>
    <w:rsid w:val="005A0A9D"/>
    <w:rsid w:val="005A56AA"/>
    <w:rsid w:val="005E19C6"/>
    <w:rsid w:val="005F5B3D"/>
    <w:rsid w:val="00601E91"/>
    <w:rsid w:val="00606F80"/>
    <w:rsid w:val="00622CC7"/>
    <w:rsid w:val="00633C7C"/>
    <w:rsid w:val="00647F9F"/>
    <w:rsid w:val="00650BD1"/>
    <w:rsid w:val="0065223F"/>
    <w:rsid w:val="00692691"/>
    <w:rsid w:val="006A406B"/>
    <w:rsid w:val="006B186F"/>
    <w:rsid w:val="006B6D50"/>
    <w:rsid w:val="006C6ADC"/>
    <w:rsid w:val="006E0575"/>
    <w:rsid w:val="0072799A"/>
    <w:rsid w:val="00754659"/>
    <w:rsid w:val="00790009"/>
    <w:rsid w:val="007B69CD"/>
    <w:rsid w:val="007C373F"/>
    <w:rsid w:val="007E16BA"/>
    <w:rsid w:val="007E3B79"/>
    <w:rsid w:val="007E6D6A"/>
    <w:rsid w:val="008066EE"/>
    <w:rsid w:val="00817BB6"/>
    <w:rsid w:val="00822703"/>
    <w:rsid w:val="00826DBE"/>
    <w:rsid w:val="00846E64"/>
    <w:rsid w:val="00884D6C"/>
    <w:rsid w:val="008A76FB"/>
    <w:rsid w:val="008C0D1E"/>
    <w:rsid w:val="00920F00"/>
    <w:rsid w:val="009252D4"/>
    <w:rsid w:val="009373F6"/>
    <w:rsid w:val="0095381A"/>
    <w:rsid w:val="00965C75"/>
    <w:rsid w:val="00976588"/>
    <w:rsid w:val="00976C70"/>
    <w:rsid w:val="009C44A4"/>
    <w:rsid w:val="009E6633"/>
    <w:rsid w:val="00A02FC9"/>
    <w:rsid w:val="00A27CA7"/>
    <w:rsid w:val="00A45B30"/>
    <w:rsid w:val="00A53FFC"/>
    <w:rsid w:val="00A71D0A"/>
    <w:rsid w:val="00A77F1E"/>
    <w:rsid w:val="00A847C4"/>
    <w:rsid w:val="00A953E4"/>
    <w:rsid w:val="00AB389D"/>
    <w:rsid w:val="00AE39A6"/>
    <w:rsid w:val="00AE7B02"/>
    <w:rsid w:val="00AF0DEA"/>
    <w:rsid w:val="00AF25E0"/>
    <w:rsid w:val="00B04290"/>
    <w:rsid w:val="00B473B3"/>
    <w:rsid w:val="00B80DEF"/>
    <w:rsid w:val="00B86BB5"/>
    <w:rsid w:val="00B91903"/>
    <w:rsid w:val="00BC4669"/>
    <w:rsid w:val="00BF72AE"/>
    <w:rsid w:val="00C16EF1"/>
    <w:rsid w:val="00C448D3"/>
    <w:rsid w:val="00C919CB"/>
    <w:rsid w:val="00CE1FEC"/>
    <w:rsid w:val="00CF62E5"/>
    <w:rsid w:val="00D03296"/>
    <w:rsid w:val="00D66D3A"/>
    <w:rsid w:val="00D743D4"/>
    <w:rsid w:val="00DB3D6C"/>
    <w:rsid w:val="00DE362D"/>
    <w:rsid w:val="00E014B6"/>
    <w:rsid w:val="00E1162F"/>
    <w:rsid w:val="00E11D5F"/>
    <w:rsid w:val="00E11E3A"/>
    <w:rsid w:val="00E20E1F"/>
    <w:rsid w:val="00E34A45"/>
    <w:rsid w:val="00E42F96"/>
    <w:rsid w:val="00E7118F"/>
    <w:rsid w:val="00E72D53"/>
    <w:rsid w:val="00E8047B"/>
    <w:rsid w:val="00EA56D2"/>
    <w:rsid w:val="00EC643A"/>
    <w:rsid w:val="00F27657"/>
    <w:rsid w:val="00F342DC"/>
    <w:rsid w:val="00F56F93"/>
    <w:rsid w:val="00F62821"/>
    <w:rsid w:val="00F63041"/>
    <w:rsid w:val="00F76452"/>
    <w:rsid w:val="00F837F8"/>
    <w:rsid w:val="00FA6602"/>
    <w:rsid w:val="00FA69B8"/>
    <w:rsid w:val="00FC70D5"/>
    <w:rsid w:val="00FD03FE"/>
    <w:rsid w:val="00FD6B46"/>
    <w:rsid w:val="00FF4354"/>
    <w:rsid w:val="00FF5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721E6C-65A4-4740-B428-07A3998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77532"/>
    <w:pPr>
      <w:ind w:left="720"/>
      <w:contextualSpacing/>
    </w:pPr>
  </w:style>
  <w:style w:type="paragraph" w:styleId="Kommentarthema">
    <w:name w:val="annotation subject"/>
    <w:basedOn w:val="Kommentartext"/>
    <w:next w:val="Kommentartext"/>
    <w:link w:val="KommentarthemaZchn"/>
    <w:semiHidden/>
    <w:unhideWhenUsed/>
    <w:rsid w:val="0024144F"/>
    <w:rPr>
      <w:b/>
      <w:bCs/>
      <w:szCs w:val="20"/>
    </w:rPr>
  </w:style>
  <w:style w:type="character" w:customStyle="1" w:styleId="KommentartextZchn">
    <w:name w:val="Kommentartext Zchn"/>
    <w:basedOn w:val="Absatz-Standardschriftart"/>
    <w:link w:val="Kommentartext"/>
    <w:semiHidden/>
    <w:rsid w:val="0024144F"/>
    <w:rPr>
      <w:sz w:val="20"/>
    </w:rPr>
  </w:style>
  <w:style w:type="character" w:customStyle="1" w:styleId="KommentarthemaZchn">
    <w:name w:val="Kommentarthema Zchn"/>
    <w:basedOn w:val="KommentartextZchn"/>
    <w:link w:val="Kommentarthema"/>
    <w:semiHidden/>
    <w:rsid w:val="00241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4063\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311</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Walch, Heike</dc:creator>
  <cp:lastModifiedBy>Baumann, Gerhard</cp:lastModifiedBy>
  <cp:revision>8</cp:revision>
  <cp:lastPrinted>2021-10-04T06:02:00Z</cp:lastPrinted>
  <dcterms:created xsi:type="dcterms:W3CDTF">2021-07-23T09:38:00Z</dcterms:created>
  <dcterms:modified xsi:type="dcterms:W3CDTF">2021-10-04T06:02:00Z</dcterms:modified>
</cp:coreProperties>
</file>