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8D3018">
      <w:pPr>
        <w:jc w:val="right"/>
      </w:pPr>
      <w:r w:rsidRPr="006E0575">
        <w:t xml:space="preserve">Anlage </w:t>
      </w:r>
      <w:r w:rsidR="007145DC">
        <w:t>7</w:t>
      </w:r>
      <w:r w:rsidR="008D3018">
        <w:t>6</w:t>
      </w:r>
      <w:r w:rsidR="0013376F">
        <w:t xml:space="preserve"> </w:t>
      </w:r>
      <w:r w:rsidRPr="006E0575">
        <w:t>zur GRDrs</w:t>
      </w:r>
      <w:r w:rsidR="0013376F">
        <w:t>.</w:t>
      </w:r>
      <w:r w:rsidRPr="006E0575">
        <w:t xml:space="preserve"> </w:t>
      </w:r>
      <w:r w:rsidR="0013376F">
        <w:t>822</w:t>
      </w:r>
      <w:r w:rsidR="005F5B3D">
        <w:t>/20</w:t>
      </w:r>
      <w:r w:rsidR="00AE7B02">
        <w:t>2</w:t>
      </w:r>
      <w:r w:rsidR="00026253">
        <w:t>3</w:t>
      </w:r>
    </w:p>
    <w:p w:rsidR="003D7B0B" w:rsidRPr="006E0575" w:rsidRDefault="003D7B0B" w:rsidP="006E0575"/>
    <w:p w:rsidR="003D7B0B" w:rsidRPr="006E0575" w:rsidRDefault="003D7B0B" w:rsidP="006E0575"/>
    <w:p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FE557E">
        <w:rPr>
          <w:b/>
          <w:sz w:val="36"/>
          <w:szCs w:val="36"/>
          <w:u w:val="single"/>
        </w:rPr>
        <w:t>5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:rsidTr="0096038F">
        <w:trPr>
          <w:tblHeader/>
        </w:trPr>
        <w:tc>
          <w:tcPr>
            <w:tcW w:w="1701" w:type="dxa"/>
            <w:shd w:val="pct12" w:color="auto" w:fill="FFFFFF"/>
          </w:tcPr>
          <w:p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96038F"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322888" w:rsidRDefault="00DC196D" w:rsidP="0030686C">
            <w:pPr>
              <w:rPr>
                <w:sz w:val="20"/>
              </w:rPr>
            </w:pPr>
            <w:r>
              <w:rPr>
                <w:sz w:val="20"/>
              </w:rPr>
              <w:t>40-3.3</w:t>
            </w:r>
          </w:p>
          <w:p w:rsidR="00322888" w:rsidRDefault="00322888" w:rsidP="0030686C">
            <w:pPr>
              <w:rPr>
                <w:sz w:val="20"/>
              </w:rPr>
            </w:pPr>
          </w:p>
          <w:p w:rsidR="00322888" w:rsidRDefault="00322888" w:rsidP="0030686C">
            <w:pPr>
              <w:rPr>
                <w:sz w:val="20"/>
              </w:rPr>
            </w:pPr>
            <w:r>
              <w:rPr>
                <w:sz w:val="20"/>
              </w:rPr>
              <w:t>4033</w:t>
            </w:r>
            <w:r w:rsidR="0013376F">
              <w:rPr>
                <w:sz w:val="20"/>
              </w:rPr>
              <w:t xml:space="preserve"> </w:t>
            </w:r>
            <w:r>
              <w:rPr>
                <w:sz w:val="20"/>
              </w:rPr>
              <w:t>7000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1D14B8" w:rsidP="0030686C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85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584692" w:rsidP="0030686C">
            <w:pPr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AA74A2">
              <w:rPr>
                <w:sz w:val="20"/>
              </w:rPr>
              <w:t>7</w:t>
            </w: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AA74A2" w:rsidP="0013376F">
            <w:pPr>
              <w:rPr>
                <w:sz w:val="20"/>
              </w:rPr>
            </w:pPr>
            <w:r>
              <w:rPr>
                <w:sz w:val="20"/>
              </w:rPr>
              <w:t>Schulhausmeister</w:t>
            </w:r>
            <w:r w:rsidR="0013376F">
              <w:rPr>
                <w:sz w:val="20"/>
              </w:rPr>
              <w:t>/-</w:t>
            </w:r>
            <w:r>
              <w:rPr>
                <w:sz w:val="20"/>
              </w:rPr>
              <w:t>in</w:t>
            </w:r>
          </w:p>
        </w:tc>
        <w:tc>
          <w:tcPr>
            <w:tcW w:w="851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DC196D" w:rsidP="0030686C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72799A" w:rsidP="0030686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B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32C1">
              <w:rPr>
                <w:noProof/>
                <w:sz w:val="20"/>
              </w:rPr>
              <w:t> </w:t>
            </w:r>
            <w:r w:rsidR="008132C1">
              <w:rPr>
                <w:noProof/>
                <w:sz w:val="20"/>
              </w:rPr>
              <w:t> </w:t>
            </w:r>
            <w:r w:rsidR="008132C1">
              <w:rPr>
                <w:noProof/>
                <w:sz w:val="20"/>
              </w:rPr>
              <w:t> </w:t>
            </w:r>
            <w:r w:rsidR="008132C1">
              <w:rPr>
                <w:noProof/>
                <w:sz w:val="20"/>
              </w:rPr>
              <w:t> </w:t>
            </w:r>
            <w:r w:rsidR="008132C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8" w:type="dxa"/>
          </w:tcPr>
          <w:p w:rsidR="0013376F" w:rsidRDefault="0013376F" w:rsidP="00DC196D">
            <w:pPr>
              <w:rPr>
                <w:sz w:val="20"/>
              </w:rPr>
            </w:pPr>
          </w:p>
          <w:p w:rsidR="00322888" w:rsidRPr="006E0575" w:rsidRDefault="0013376F" w:rsidP="00DC196D">
            <w:pPr>
              <w:rPr>
                <w:sz w:val="20"/>
              </w:rPr>
            </w:pPr>
            <w:r>
              <w:rPr>
                <w:sz w:val="20"/>
              </w:rPr>
              <w:t>55.500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322888" w:rsidRDefault="00DC196D" w:rsidP="00884D6C">
      <w:r>
        <w:t xml:space="preserve">Der </w:t>
      </w:r>
      <w:r w:rsidR="00AA74A2">
        <w:t xml:space="preserve">Schaffung </w:t>
      </w:r>
      <w:r>
        <w:t xml:space="preserve">einer Schulhausmeisterstelle im Umfang </w:t>
      </w:r>
      <w:r w:rsidR="008132C1">
        <w:t>von 1,0</w:t>
      </w:r>
      <w:bookmarkStart w:id="0" w:name="_GoBack"/>
      <w:bookmarkEnd w:id="0"/>
      <w:r>
        <w:t xml:space="preserve"> Vollzeitkraft</w:t>
      </w:r>
      <w:r w:rsidR="00AA74A2">
        <w:t xml:space="preserve"> </w:t>
      </w:r>
      <w:r w:rsidR="00E45E49">
        <w:t xml:space="preserve">für die Betreuung des </w:t>
      </w:r>
      <w:r w:rsidR="00AA74A2">
        <w:t>Schulstandort</w:t>
      </w:r>
      <w:r w:rsidR="00E45E49">
        <w:t>s des</w:t>
      </w:r>
      <w:r w:rsidR="00AA74A2">
        <w:t xml:space="preserve"> Bildungshaus</w:t>
      </w:r>
      <w:r w:rsidR="00E45E49">
        <w:t>es</w:t>
      </w:r>
      <w:r w:rsidR="00AA74A2">
        <w:t xml:space="preserve"> Neckarpark</w:t>
      </w:r>
      <w:r>
        <w:t xml:space="preserve"> wird zugestimmt</w:t>
      </w:r>
      <w:r w:rsidR="00322888">
        <w:t>.</w:t>
      </w:r>
      <w:r w:rsidR="00E45E49">
        <w:t xml:space="preserve"> D</w:t>
      </w:r>
      <w:r w:rsidR="00322888">
        <w:t xml:space="preserve">ie Inbetriebnahme des </w:t>
      </w:r>
      <w:r w:rsidR="00E45E49">
        <w:t xml:space="preserve">Schulstandortes ist </w:t>
      </w:r>
      <w:r w:rsidR="00322888">
        <w:t>für den Sommer 2025 zu Beginn des Schuljahres 2025/2026 vorgesehen.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3D7B0B" w:rsidRDefault="00DC196D" w:rsidP="00884D6C">
      <w:r>
        <w:t xml:space="preserve">Das Stellenschaffungskriterium „erhebliche Arbeitsvermehrung“ ist im Umfang </w:t>
      </w:r>
      <w:r w:rsidR="0013376F">
        <w:t xml:space="preserve">von </w:t>
      </w:r>
      <w:r>
        <w:t>einer Vollzeitstelle erfüllt.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322888" w:rsidRDefault="00AA74A2" w:rsidP="00AA74A2">
      <w:pPr>
        <w:rPr>
          <w:rFonts w:eastAsiaTheme="minorHAnsi" w:cstheme="minorBidi"/>
          <w:lang w:eastAsia="en-US"/>
        </w:rPr>
      </w:pPr>
      <w:r w:rsidRPr="00AA74A2">
        <w:rPr>
          <w:rFonts w:eastAsiaTheme="minorHAnsi" w:cstheme="minorBidi"/>
          <w:lang w:eastAsia="en-US"/>
        </w:rPr>
        <w:t xml:space="preserve">Das Bildungshaus Neckarpark umfasst eine Ganztagesgrundschule, eine Kindertagesstätte, eine 2-Feld-Sporthalle und </w:t>
      </w:r>
      <w:r w:rsidR="00E45E49">
        <w:rPr>
          <w:rFonts w:eastAsiaTheme="minorHAnsi" w:cstheme="minorBidi"/>
          <w:lang w:eastAsia="en-US"/>
        </w:rPr>
        <w:t xml:space="preserve">für die Volkshochschule </w:t>
      </w:r>
      <w:r w:rsidRPr="00AA74A2">
        <w:rPr>
          <w:rFonts w:eastAsiaTheme="minorHAnsi" w:cstheme="minorBidi"/>
          <w:lang w:eastAsia="en-US"/>
        </w:rPr>
        <w:t xml:space="preserve">das Mittelzentrum Bad Cannstatt. Aufgrund der </w:t>
      </w:r>
      <w:r w:rsidR="00E45E49">
        <w:rPr>
          <w:rFonts w:eastAsiaTheme="minorHAnsi" w:cstheme="minorBidi"/>
          <w:lang w:eastAsia="en-US"/>
        </w:rPr>
        <w:t>vielseitig geplanten</w:t>
      </w:r>
      <w:r w:rsidR="00E45E49" w:rsidRPr="00AA74A2">
        <w:rPr>
          <w:rFonts w:eastAsiaTheme="minorHAnsi" w:cstheme="minorBidi"/>
          <w:lang w:eastAsia="en-US"/>
        </w:rPr>
        <w:t xml:space="preserve"> </w:t>
      </w:r>
      <w:r w:rsidRPr="00AA74A2">
        <w:rPr>
          <w:rFonts w:eastAsiaTheme="minorHAnsi" w:cstheme="minorBidi"/>
          <w:lang w:eastAsia="en-US"/>
        </w:rPr>
        <w:t xml:space="preserve">Nutzungen ist </w:t>
      </w:r>
      <w:r w:rsidR="00E45E49">
        <w:rPr>
          <w:rFonts w:eastAsiaTheme="minorHAnsi" w:cstheme="minorBidi"/>
          <w:lang w:eastAsia="en-US"/>
        </w:rPr>
        <w:t xml:space="preserve">von einem </w:t>
      </w:r>
      <w:r w:rsidRPr="00AA74A2">
        <w:rPr>
          <w:rFonts w:eastAsiaTheme="minorHAnsi" w:cstheme="minorBidi"/>
          <w:lang w:eastAsia="en-US"/>
        </w:rPr>
        <w:t>ganzjährige</w:t>
      </w:r>
      <w:r w:rsidR="00E45E49">
        <w:rPr>
          <w:rFonts w:eastAsiaTheme="minorHAnsi" w:cstheme="minorBidi"/>
          <w:lang w:eastAsia="en-US"/>
        </w:rPr>
        <w:t>n</w:t>
      </w:r>
      <w:r w:rsidRPr="00AA74A2">
        <w:rPr>
          <w:rFonts w:eastAsiaTheme="minorHAnsi" w:cstheme="minorBidi"/>
          <w:lang w:eastAsia="en-US"/>
        </w:rPr>
        <w:t xml:space="preserve"> Betreuungsbedarf </w:t>
      </w:r>
      <w:r w:rsidR="00E45E49">
        <w:rPr>
          <w:rFonts w:eastAsiaTheme="minorHAnsi" w:cstheme="minorBidi"/>
          <w:lang w:eastAsia="en-US"/>
        </w:rPr>
        <w:t>auszugehen</w:t>
      </w:r>
      <w:r w:rsidRPr="00AA74A2">
        <w:rPr>
          <w:rFonts w:eastAsiaTheme="minorHAnsi" w:cstheme="minorBidi"/>
          <w:lang w:eastAsia="en-US"/>
        </w:rPr>
        <w:t xml:space="preserve">, </w:t>
      </w:r>
      <w:r w:rsidR="00E45E49">
        <w:rPr>
          <w:rFonts w:eastAsiaTheme="minorHAnsi" w:cstheme="minorBidi"/>
          <w:lang w:eastAsia="en-US"/>
        </w:rPr>
        <w:t xml:space="preserve">der </w:t>
      </w:r>
      <w:r w:rsidRPr="00AA74A2">
        <w:rPr>
          <w:rFonts w:eastAsiaTheme="minorHAnsi" w:cstheme="minorBidi"/>
          <w:lang w:eastAsia="en-US"/>
        </w:rPr>
        <w:t>Abend-, Wochenend- und Ferienbetreuung</w:t>
      </w:r>
      <w:r w:rsidR="00E45E49">
        <w:rPr>
          <w:rFonts w:eastAsiaTheme="minorHAnsi" w:cstheme="minorBidi"/>
          <w:lang w:eastAsia="en-US"/>
        </w:rPr>
        <w:t xml:space="preserve"> beinhaltet</w:t>
      </w:r>
      <w:r w:rsidRPr="00AA74A2">
        <w:rPr>
          <w:rFonts w:eastAsiaTheme="minorHAnsi" w:cstheme="minorBidi"/>
          <w:lang w:eastAsia="en-US"/>
        </w:rPr>
        <w:t xml:space="preserve">. </w:t>
      </w:r>
      <w:r w:rsidR="004102F6">
        <w:rPr>
          <w:rFonts w:eastAsiaTheme="minorHAnsi" w:cstheme="minorBidi"/>
          <w:lang w:eastAsia="en-US"/>
        </w:rPr>
        <w:t xml:space="preserve">Die Betreuung der Gebäude </w:t>
      </w:r>
      <w:r w:rsidR="00DC196D">
        <w:rPr>
          <w:rFonts w:eastAsiaTheme="minorHAnsi" w:cstheme="minorBidi"/>
          <w:lang w:eastAsia="en-US"/>
        </w:rPr>
        <w:t>erfolgt nach dem „Stuttgarter Modell“ (siehe GRDrs. 937/2015) durch eine „Stammkraft“ zu den Kernzeiten und eine „Tourenkraft“ zu den Randzeiten.</w:t>
      </w:r>
      <w:r w:rsidRPr="00AA74A2">
        <w:rPr>
          <w:rFonts w:eastAsiaTheme="minorHAnsi" w:cstheme="minorBidi"/>
          <w:lang w:eastAsia="en-US"/>
        </w:rPr>
        <w:t xml:space="preserve"> </w:t>
      </w:r>
    </w:p>
    <w:p w:rsidR="00DC196D" w:rsidRDefault="00DC196D" w:rsidP="00AA74A2">
      <w:pPr>
        <w:rPr>
          <w:rFonts w:eastAsiaTheme="minorHAnsi" w:cstheme="minorBidi"/>
          <w:lang w:eastAsia="en-US"/>
        </w:rPr>
      </w:pP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322888" w:rsidP="00884D6C">
      <w:r>
        <w:t>Bisher keine Betreuung. Es handelt sich um einen Neubau</w:t>
      </w:r>
      <w:r w:rsidR="004102F6">
        <w:t>.</w:t>
      </w:r>
    </w:p>
    <w:p w:rsidR="0013376F" w:rsidRDefault="0013376F">
      <w:pPr>
        <w:rPr>
          <w:b/>
        </w:rPr>
      </w:pPr>
      <w:r>
        <w:br w:type="page"/>
      </w:r>
    </w:p>
    <w:p w:rsidR="003D7B0B" w:rsidRDefault="006E0575" w:rsidP="00884D6C">
      <w:pPr>
        <w:pStyle w:val="berschrift2"/>
      </w:pPr>
      <w:r>
        <w:lastRenderedPageBreak/>
        <w:t>3.3</w:t>
      </w:r>
      <w:r w:rsidR="003D7B0B">
        <w:tab/>
        <w:t>Auswirkungen bei Ablehnung der Stellenschaffungen</w:t>
      </w:r>
    </w:p>
    <w:p w:rsidR="003D7B0B" w:rsidRDefault="003D7B0B" w:rsidP="00884D6C"/>
    <w:p w:rsidR="003D7B0B" w:rsidRDefault="00322888" w:rsidP="00884D6C">
      <w:r>
        <w:t>Eine Ablehnung der Stellenschaffung hätte zur Folge, dass die Schulhausmeisterdienstaufgaben, wie u.</w:t>
      </w:r>
      <w:r w:rsidR="0013376F">
        <w:t xml:space="preserve"> </w:t>
      </w:r>
      <w:r>
        <w:t xml:space="preserve">a. die Sicherstellung der Verkehrssicherungspflicht, die Herstellung der Betriebssicherheit und Betriebsbereitschaft der haustechnischen Anlagen sowie die allgemeine Objektbetreuung am Schulstandort </w:t>
      </w:r>
      <w:r w:rsidR="004102F6">
        <w:t xml:space="preserve">des </w:t>
      </w:r>
      <w:r>
        <w:t>Bildungshaus</w:t>
      </w:r>
      <w:r w:rsidR="004102F6">
        <w:t>es</w:t>
      </w:r>
      <w:r>
        <w:t xml:space="preserve"> Neckarpark nicht erfüllt werden können.</w:t>
      </w:r>
    </w:p>
    <w:p w:rsidR="004102F6" w:rsidRDefault="004102F6" w:rsidP="00884D6C"/>
    <w:p w:rsidR="00322888" w:rsidRDefault="00322888" w:rsidP="00884D6C">
      <w:r>
        <w:t xml:space="preserve">Der Einsatz </w:t>
      </w:r>
      <w:r w:rsidR="00801B43">
        <w:t>a</w:t>
      </w:r>
      <w:r>
        <w:t>ndere</w:t>
      </w:r>
      <w:r w:rsidR="004102F6">
        <w:t>r</w:t>
      </w:r>
      <w:r>
        <w:t xml:space="preserve"> Schulhausmeister</w:t>
      </w:r>
      <w:r w:rsidR="004102F6">
        <w:t xml:space="preserve"> und Schulhausmeister</w:t>
      </w:r>
      <w:r>
        <w:t xml:space="preserve">innen aus </w:t>
      </w:r>
      <w:r w:rsidR="004102F6">
        <w:t>umliegenden</w:t>
      </w:r>
      <w:r>
        <w:t xml:space="preserve"> Schulstandorten</w:t>
      </w:r>
      <w:r w:rsidR="00DC196D">
        <w:t xml:space="preserve"> zu den Kernzeiten</w:t>
      </w:r>
      <w:r>
        <w:t xml:space="preserve"> ist nicht </w:t>
      </w:r>
      <w:proofErr w:type="spellStart"/>
      <w:r w:rsidR="004102F6">
        <w:t>leist</w:t>
      </w:r>
      <w:proofErr w:type="spellEnd"/>
      <w:r w:rsidR="004102F6">
        <w:t xml:space="preserve">- und </w:t>
      </w:r>
      <w:r>
        <w:t>umsetzbar. Das eingesetzte Personal wäre dauerhaft überlastet und es wäre mit überlastungsbedingten Ausfällen zu rechnen.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4102F6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1E" w:rsidRDefault="0023711E">
      <w:r>
        <w:separator/>
      </w:r>
    </w:p>
  </w:endnote>
  <w:endnote w:type="continuationSeparator" w:id="0">
    <w:p w:rsidR="0023711E" w:rsidRDefault="0023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1E" w:rsidRDefault="0023711E">
      <w:r>
        <w:separator/>
      </w:r>
    </w:p>
  </w:footnote>
  <w:footnote w:type="continuationSeparator" w:id="0">
    <w:p w:rsidR="0023711E" w:rsidRDefault="0023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8132C1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1E"/>
    <w:rsid w:val="00026253"/>
    <w:rsid w:val="00055758"/>
    <w:rsid w:val="00061F0B"/>
    <w:rsid w:val="000A1146"/>
    <w:rsid w:val="001034AF"/>
    <w:rsid w:val="0011112B"/>
    <w:rsid w:val="0013376F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D14B8"/>
    <w:rsid w:val="001F7237"/>
    <w:rsid w:val="0023711E"/>
    <w:rsid w:val="00246238"/>
    <w:rsid w:val="002924CB"/>
    <w:rsid w:val="002A20D1"/>
    <w:rsid w:val="002A4DE3"/>
    <w:rsid w:val="002B5955"/>
    <w:rsid w:val="0030686C"/>
    <w:rsid w:val="00322888"/>
    <w:rsid w:val="00380937"/>
    <w:rsid w:val="00397717"/>
    <w:rsid w:val="003D7B0B"/>
    <w:rsid w:val="003E0F4B"/>
    <w:rsid w:val="003F0FAA"/>
    <w:rsid w:val="004102F6"/>
    <w:rsid w:val="00470135"/>
    <w:rsid w:val="0047606A"/>
    <w:rsid w:val="004908B5"/>
    <w:rsid w:val="0049121B"/>
    <w:rsid w:val="004A1688"/>
    <w:rsid w:val="004B6796"/>
    <w:rsid w:val="00584692"/>
    <w:rsid w:val="005A0A9D"/>
    <w:rsid w:val="005A56AA"/>
    <w:rsid w:val="005E19C6"/>
    <w:rsid w:val="005F5B3D"/>
    <w:rsid w:val="00606F80"/>
    <w:rsid w:val="00622CC7"/>
    <w:rsid w:val="006A406B"/>
    <w:rsid w:val="006B6D50"/>
    <w:rsid w:val="006E0575"/>
    <w:rsid w:val="007145DC"/>
    <w:rsid w:val="0072799A"/>
    <w:rsid w:val="00727BAE"/>
    <w:rsid w:val="00754659"/>
    <w:rsid w:val="007D5E56"/>
    <w:rsid w:val="007E3B79"/>
    <w:rsid w:val="00801B43"/>
    <w:rsid w:val="008066EE"/>
    <w:rsid w:val="008132C1"/>
    <w:rsid w:val="00817BB6"/>
    <w:rsid w:val="00884D6C"/>
    <w:rsid w:val="008D3018"/>
    <w:rsid w:val="00920F00"/>
    <w:rsid w:val="009373F6"/>
    <w:rsid w:val="00946276"/>
    <w:rsid w:val="0096038F"/>
    <w:rsid w:val="00976588"/>
    <w:rsid w:val="00A27CA7"/>
    <w:rsid w:val="00A45B30"/>
    <w:rsid w:val="00A71D0A"/>
    <w:rsid w:val="00A77F1E"/>
    <w:rsid w:val="00A847C4"/>
    <w:rsid w:val="00AA74A2"/>
    <w:rsid w:val="00AB389D"/>
    <w:rsid w:val="00AE7B02"/>
    <w:rsid w:val="00AF0DEA"/>
    <w:rsid w:val="00AF25E0"/>
    <w:rsid w:val="00B04290"/>
    <w:rsid w:val="00B80DEF"/>
    <w:rsid w:val="00B86BB5"/>
    <w:rsid w:val="00B91903"/>
    <w:rsid w:val="00BC4669"/>
    <w:rsid w:val="00C16EF1"/>
    <w:rsid w:val="00C448D3"/>
    <w:rsid w:val="00CC302F"/>
    <w:rsid w:val="00CF62E5"/>
    <w:rsid w:val="00D66D3A"/>
    <w:rsid w:val="00D71865"/>
    <w:rsid w:val="00D743D4"/>
    <w:rsid w:val="00DB3D6C"/>
    <w:rsid w:val="00DC196D"/>
    <w:rsid w:val="00DE362D"/>
    <w:rsid w:val="00E014B6"/>
    <w:rsid w:val="00E1162F"/>
    <w:rsid w:val="00E11D5F"/>
    <w:rsid w:val="00E20E1F"/>
    <w:rsid w:val="00E42F96"/>
    <w:rsid w:val="00E45E49"/>
    <w:rsid w:val="00E7118F"/>
    <w:rsid w:val="00F27657"/>
    <w:rsid w:val="00F342DC"/>
    <w:rsid w:val="00F56F93"/>
    <w:rsid w:val="00F63041"/>
    <w:rsid w:val="00F76452"/>
    <w:rsid w:val="00FD6B46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3B2BD"/>
  <w15:docId w15:val="{3AA8CDC2-B343-4CC1-90FD-4EAF65F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E45E4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45E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45E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45E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45E4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E45E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Braß, Andrea</dc:creator>
  <cp:lastModifiedBy>Baumann, Gerhard</cp:lastModifiedBy>
  <cp:revision>15</cp:revision>
  <cp:lastPrinted>2023-10-19T15:28:00Z</cp:lastPrinted>
  <dcterms:created xsi:type="dcterms:W3CDTF">2022-11-28T08:25:00Z</dcterms:created>
  <dcterms:modified xsi:type="dcterms:W3CDTF">2023-10-19T15:28:00Z</dcterms:modified>
</cp:coreProperties>
</file>