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29602D">
        <w:t>61</w:t>
      </w:r>
      <w:r w:rsidRPr="006E0575">
        <w:t xml:space="preserve"> zur GRDrs</w:t>
      </w:r>
      <w:r w:rsidR="007F1C57">
        <w:t>.</w:t>
      </w:r>
      <w:r w:rsidRPr="006E0575">
        <w:t xml:space="preserve"> </w:t>
      </w:r>
      <w:r w:rsidR="007F1C57">
        <w:t>822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1970C6">
        <w:t>4</w:t>
      </w:r>
    </w:p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474F47" w:rsidP="00C33C9C">
            <w:pPr>
              <w:rPr>
                <w:sz w:val="20"/>
              </w:rPr>
            </w:pPr>
            <w:r>
              <w:rPr>
                <w:sz w:val="20"/>
              </w:rPr>
              <w:t>510</w:t>
            </w:r>
            <w:r w:rsidR="0029602D">
              <w:rPr>
                <w:sz w:val="20"/>
              </w:rPr>
              <w:t>.1016.</w:t>
            </w:r>
            <w:bookmarkStart w:id="0" w:name="_GoBack"/>
            <w:bookmarkEnd w:id="0"/>
            <w:r>
              <w:rPr>
                <w:sz w:val="20"/>
              </w:rPr>
              <w:t>160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A72460" w:rsidRPr="00391B30" w:rsidRDefault="00A72460" w:rsidP="00A72460">
            <w:pPr>
              <w:rPr>
                <w:sz w:val="20"/>
              </w:rPr>
            </w:pPr>
            <w:r w:rsidRPr="00391B30">
              <w:rPr>
                <w:sz w:val="20"/>
              </w:rPr>
              <w:t>5180</w:t>
            </w:r>
            <w:r w:rsidR="001A048A">
              <w:rPr>
                <w:sz w:val="20"/>
              </w:rPr>
              <w:t xml:space="preserve"> </w:t>
            </w:r>
            <w:r w:rsidRPr="00391B30">
              <w:rPr>
                <w:sz w:val="20"/>
              </w:rPr>
              <w:t>8000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74F47" w:rsidP="00C33C9C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474F47" w:rsidRPr="006E0575" w:rsidRDefault="00474F47" w:rsidP="00C33C9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7F1C57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Sachbearbeiter/ -in </w:t>
            </w: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0764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076456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1A048A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1A048A" w:rsidRDefault="00076456" w:rsidP="00C33C9C">
            <w:pPr>
              <w:rPr>
                <w:b/>
                <w:sz w:val="20"/>
              </w:rPr>
            </w:pPr>
            <w:r w:rsidRPr="001A048A">
              <w:rPr>
                <w:b/>
                <w:sz w:val="20"/>
              </w:rPr>
              <w:t>KW 01/</w:t>
            </w:r>
            <w:r w:rsidR="001A048A" w:rsidRPr="001A048A">
              <w:rPr>
                <w:b/>
                <w:sz w:val="20"/>
              </w:rPr>
              <w:t>20</w:t>
            </w:r>
            <w:r w:rsidRPr="001A048A">
              <w:rPr>
                <w:b/>
                <w:sz w:val="20"/>
              </w:rPr>
              <w:t>28</w:t>
            </w: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E2650" w:rsidRDefault="003E2650" w:rsidP="003E2650">
      <w:pPr>
        <w:jc w:val="both"/>
        <w:rPr>
          <w:rFonts w:cs="Arial"/>
        </w:rPr>
      </w:pPr>
      <w:r w:rsidRPr="00AF112D">
        <w:rPr>
          <w:rFonts w:cs="Arial"/>
        </w:rPr>
        <w:t>Im Jahr 2022 wurde</w:t>
      </w:r>
      <w:r>
        <w:rPr>
          <w:rFonts w:cs="Arial"/>
        </w:rPr>
        <w:t>n erstmalig</w:t>
      </w:r>
      <w:r w:rsidRPr="00AF112D">
        <w:rPr>
          <w:rFonts w:cs="Arial"/>
        </w:rPr>
        <w:t xml:space="preserve"> die rechtliche</w:t>
      </w:r>
      <w:r>
        <w:rPr>
          <w:rFonts w:cs="Arial"/>
        </w:rPr>
        <w:t>n</w:t>
      </w:r>
      <w:r w:rsidRPr="00AF112D">
        <w:rPr>
          <w:rFonts w:cs="Arial"/>
        </w:rPr>
        <w:t xml:space="preserve"> Vorgabe</w:t>
      </w:r>
      <w:r>
        <w:rPr>
          <w:rFonts w:cs="Arial"/>
        </w:rPr>
        <w:t xml:space="preserve">n des § 8 </w:t>
      </w:r>
      <w:proofErr w:type="spellStart"/>
      <w:r>
        <w:rPr>
          <w:rFonts w:cs="Arial"/>
        </w:rPr>
        <w:t>KiT</w:t>
      </w:r>
      <w:r w:rsidRPr="00AF112D">
        <w:rPr>
          <w:rFonts w:cs="Arial"/>
        </w:rPr>
        <w:t>aG</w:t>
      </w:r>
      <w:proofErr w:type="spellEnd"/>
      <w:r w:rsidRPr="00AF112D">
        <w:rPr>
          <w:rFonts w:cs="Arial"/>
        </w:rPr>
        <w:t xml:space="preserve"> umgesetzt.</w:t>
      </w:r>
      <w:r w:rsidR="00DA18F7">
        <w:rPr>
          <w:rFonts w:cs="Arial"/>
        </w:rPr>
        <w:t xml:space="preserve"> </w:t>
      </w:r>
      <w:r w:rsidRPr="00AF112D">
        <w:rPr>
          <w:rFonts w:cs="Arial"/>
        </w:rPr>
        <w:t>§</w:t>
      </w:r>
      <w:r>
        <w:rPr>
          <w:rFonts w:cs="Arial"/>
        </w:rPr>
        <w:t xml:space="preserve"> 8 Absatz 3 und § 8 Absatz 4 </w:t>
      </w:r>
      <w:proofErr w:type="spellStart"/>
      <w:r>
        <w:rPr>
          <w:rFonts w:cs="Arial"/>
        </w:rPr>
        <w:t>KiT</w:t>
      </w:r>
      <w:r w:rsidRPr="00AF112D">
        <w:rPr>
          <w:rFonts w:cs="Arial"/>
        </w:rPr>
        <w:t>aG</w:t>
      </w:r>
      <w:proofErr w:type="spellEnd"/>
      <w:r w:rsidRPr="00AF112D">
        <w:rPr>
          <w:rFonts w:cs="Arial"/>
        </w:rPr>
        <w:t xml:space="preserve"> regeln die Ansprüche auf die gesetzliche M</w:t>
      </w:r>
      <w:r>
        <w:rPr>
          <w:rFonts w:cs="Arial"/>
        </w:rPr>
        <w:t>indestförderung in Höhe von 63%</w:t>
      </w:r>
      <w:r w:rsidRPr="00AF112D">
        <w:rPr>
          <w:rFonts w:cs="Arial"/>
        </w:rPr>
        <w:t xml:space="preserve"> bzw. 68% der Betriebsausgaben.</w:t>
      </w:r>
      <w:r w:rsidR="00DA18F7">
        <w:rPr>
          <w:rFonts w:cs="Arial"/>
        </w:rPr>
        <w:t xml:space="preserve"> </w:t>
      </w:r>
      <w:r w:rsidRPr="00391B30">
        <w:rPr>
          <w:rFonts w:cs="Arial"/>
        </w:rPr>
        <w:t xml:space="preserve">In § 8 Absatz 8 </w:t>
      </w:r>
      <w:proofErr w:type="spellStart"/>
      <w:r w:rsidRPr="00391B30">
        <w:rPr>
          <w:rFonts w:cs="Arial"/>
        </w:rPr>
        <w:t>KiTaG</w:t>
      </w:r>
      <w:proofErr w:type="spellEnd"/>
      <w:r w:rsidRPr="00391B30">
        <w:rPr>
          <w:rFonts w:cs="Arial"/>
        </w:rPr>
        <w:t xml:space="preserve"> wird festgelegt,</w:t>
      </w:r>
      <w:r w:rsidRPr="00AF112D">
        <w:rPr>
          <w:rFonts w:cs="Arial"/>
        </w:rPr>
        <w:t xml:space="preserve"> dass eine über die Mindestförderung hinausgehende Förderung in einem Vertrag zwischen der jeweiligen Gemeinde und dem Einrichtungsträger geregelt wird.</w:t>
      </w:r>
    </w:p>
    <w:p w:rsidR="003E2650" w:rsidRDefault="003E2650" w:rsidP="003E2650">
      <w:pPr>
        <w:jc w:val="both"/>
        <w:rPr>
          <w:rFonts w:cs="Arial"/>
        </w:rPr>
      </w:pPr>
    </w:p>
    <w:p w:rsidR="003E2650" w:rsidRDefault="003E2650" w:rsidP="003E2650">
      <w:pPr>
        <w:jc w:val="both"/>
        <w:rPr>
          <w:rFonts w:cs="Arial"/>
        </w:rPr>
      </w:pPr>
      <w:r>
        <w:rPr>
          <w:rFonts w:cs="Arial"/>
        </w:rPr>
        <w:t>Somit wurden im Jahr 2022 erstmalig Verträge mit 146 Einrichtungsträgern abgeschlossen und 439 Bewilligungen über die gesetzliche Mindestförderung erstellt.</w:t>
      </w:r>
      <w:r w:rsidR="00DA18F7">
        <w:rPr>
          <w:rFonts w:cs="Arial"/>
        </w:rPr>
        <w:t xml:space="preserve"> </w:t>
      </w:r>
      <w:r>
        <w:rPr>
          <w:rFonts w:cs="Arial"/>
        </w:rPr>
        <w:t>Durch die Zweiteilung des Zuschusses erfolgt nun neben der Bewilligung der Mindestförderung weiterhin ein Festsetzungsbescheid für jeweils 439 Tageseinrichtungen.</w:t>
      </w:r>
      <w:r w:rsidR="00DA18F7">
        <w:rPr>
          <w:rFonts w:cs="Arial"/>
        </w:rPr>
        <w:t xml:space="preserve"> </w:t>
      </w:r>
      <w:r>
        <w:rPr>
          <w:rFonts w:cs="Arial"/>
        </w:rPr>
        <w:t>Auch für die Leistungen aus dem Vertrag ist nach Ablauf des Jahres eine Mitteilung über die Höhe der vertraglichen Leistung zu erstellen.</w:t>
      </w:r>
    </w:p>
    <w:p w:rsidR="003E2650" w:rsidRDefault="003E2650" w:rsidP="003E2650">
      <w:pPr>
        <w:jc w:val="both"/>
        <w:rPr>
          <w:rFonts w:cs="Arial"/>
        </w:rPr>
      </w:pPr>
    </w:p>
    <w:p w:rsidR="003E2650" w:rsidRDefault="003E2650" w:rsidP="003E2650">
      <w:pPr>
        <w:jc w:val="both"/>
        <w:rPr>
          <w:rFonts w:cs="Arial"/>
        </w:rPr>
      </w:pPr>
      <w:r>
        <w:rPr>
          <w:rFonts w:cs="Arial"/>
        </w:rPr>
        <w:t>Im Rahmen der örtlichen Prüfung des Jahresabschlusses 2019 – Förderung der Betriebsausgaben für die Betriebskindertagesstätten - wurde das Jugendamt darauf hingewiesen, dass eine saubere Trennung der Förderung nach gesetzlicher Mindestförderung und städtischer Freiwilligkeitsleistungen vorzunehmen ist.</w:t>
      </w:r>
      <w:r w:rsidR="00DA18F7">
        <w:rPr>
          <w:rFonts w:cs="Arial"/>
        </w:rPr>
        <w:t xml:space="preserve"> </w:t>
      </w:r>
      <w:r>
        <w:rPr>
          <w:rFonts w:cs="Arial"/>
        </w:rPr>
        <w:t>Um diese Trennung überhaupt vornehmen zu können, mussten zuerst die vertraglichen Vereinbarungen mit den Trägern abgeschlossen werden.</w:t>
      </w:r>
    </w:p>
    <w:p w:rsidR="00DA18F7" w:rsidRDefault="00DA18F7" w:rsidP="003E2650">
      <w:pPr>
        <w:jc w:val="both"/>
        <w:rPr>
          <w:rFonts w:cs="Arial"/>
        </w:rPr>
      </w:pPr>
    </w:p>
    <w:p w:rsidR="00DA18F7" w:rsidRPr="00DA18F7" w:rsidRDefault="00DA18F7" w:rsidP="00DA18F7">
      <w:pPr>
        <w:rPr>
          <w:sz w:val="20"/>
          <w:szCs w:val="20"/>
        </w:rPr>
      </w:pPr>
      <w:r w:rsidRPr="00DA18F7">
        <w:rPr>
          <w:rFonts w:cs="Arial"/>
          <w:b/>
          <w:sz w:val="20"/>
          <w:szCs w:val="20"/>
        </w:rPr>
        <w:t>Übersicht Bearbeitungsstände Betriebszuschüsse Tageseinrichtungen für Kinder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306"/>
        <w:gridCol w:w="2375"/>
        <w:gridCol w:w="1990"/>
        <w:gridCol w:w="2050"/>
        <w:gridCol w:w="1624"/>
      </w:tblGrid>
      <w:tr w:rsidR="00DA18F7" w:rsidRPr="002F3BDA" w:rsidTr="00DA18F7">
        <w:trPr>
          <w:trHeight w:val="907"/>
          <w:jc w:val="center"/>
        </w:trPr>
        <w:tc>
          <w:tcPr>
            <w:tcW w:w="698" w:type="pct"/>
          </w:tcPr>
          <w:p w:rsidR="00DA18F7" w:rsidRPr="002F3BDA" w:rsidRDefault="00DA18F7" w:rsidP="00DC2FE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1" w:type="pct"/>
          </w:tcPr>
          <w:p w:rsidR="00DA18F7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Festsetzungs-</w:t>
            </w:r>
          </w:p>
          <w:p w:rsidR="00DA18F7" w:rsidRPr="002F3BDA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bescheide</w:t>
            </w:r>
            <w:r>
              <w:rPr>
                <w:rFonts w:ascii="Arial" w:hAnsi="Arial" w:cs="Arial"/>
                <w:b/>
              </w:rPr>
              <w:br/>
            </w:r>
            <w:r w:rsidRPr="002F3BDA">
              <w:rPr>
                <w:rFonts w:ascii="Arial" w:hAnsi="Arial" w:cs="Arial"/>
                <w:b/>
              </w:rPr>
              <w:t>Tageseinrichtungen</w:t>
            </w:r>
          </w:p>
        </w:tc>
        <w:tc>
          <w:tcPr>
            <w:tcW w:w="1065" w:type="pct"/>
          </w:tcPr>
          <w:p w:rsidR="00DA18F7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Erledigte</w:t>
            </w:r>
          </w:p>
          <w:p w:rsidR="00DA18F7" w:rsidRPr="002F3BDA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Festsetzungen</w:t>
            </w:r>
          </w:p>
        </w:tc>
        <w:tc>
          <w:tcPr>
            <w:tcW w:w="1097" w:type="pct"/>
          </w:tcPr>
          <w:p w:rsidR="00DA18F7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Offene</w:t>
            </w:r>
          </w:p>
          <w:p w:rsidR="00DA18F7" w:rsidRPr="002F3BDA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Festsetzungen</w:t>
            </w:r>
          </w:p>
        </w:tc>
        <w:tc>
          <w:tcPr>
            <w:tcW w:w="869" w:type="pct"/>
          </w:tcPr>
          <w:p w:rsidR="00DA18F7" w:rsidRPr="003F4A9C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Abrechnungsstand</w:t>
            </w:r>
          </w:p>
        </w:tc>
      </w:tr>
      <w:tr w:rsidR="00DA18F7" w:rsidRPr="002F3BDA" w:rsidTr="00DA18F7">
        <w:trPr>
          <w:jc w:val="center"/>
        </w:trPr>
        <w:tc>
          <w:tcPr>
            <w:tcW w:w="698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 w:rsidRPr="0039335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97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869" w:type="pct"/>
            <w:shd w:val="clear" w:color="auto" w:fill="D9D9D9" w:themeFill="background1" w:themeFillShade="D9"/>
          </w:tcPr>
          <w:p w:rsidR="00DA18F7" w:rsidRPr="0030443C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34,55%</w:t>
            </w:r>
          </w:p>
        </w:tc>
      </w:tr>
      <w:tr w:rsidR="00DA18F7" w:rsidRPr="002F3BDA" w:rsidTr="00DA18F7">
        <w:trPr>
          <w:jc w:val="center"/>
        </w:trPr>
        <w:tc>
          <w:tcPr>
            <w:tcW w:w="698" w:type="pct"/>
          </w:tcPr>
          <w:p w:rsidR="00DA18F7" w:rsidRPr="002F3BDA" w:rsidRDefault="00DA18F7" w:rsidP="00DC2FEE">
            <w:pPr>
              <w:jc w:val="center"/>
              <w:rPr>
                <w:rFonts w:ascii="Arial" w:hAnsi="Arial" w:cs="Arial"/>
              </w:rPr>
            </w:pPr>
            <w:r w:rsidRPr="002F3BD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1" w:type="pct"/>
          </w:tcPr>
          <w:p w:rsidR="00DA18F7" w:rsidRPr="002F3BDA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065" w:type="pct"/>
          </w:tcPr>
          <w:p w:rsidR="00DA18F7" w:rsidRPr="002F3BDA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7" w:type="pct"/>
          </w:tcPr>
          <w:p w:rsidR="00DA18F7" w:rsidRPr="002F3BDA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869" w:type="pct"/>
          </w:tcPr>
          <w:p w:rsidR="00DA18F7" w:rsidRPr="00E53786" w:rsidRDefault="00DA18F7" w:rsidP="00DC2FEE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t>20,96%</w:t>
            </w:r>
          </w:p>
        </w:tc>
      </w:tr>
    </w:tbl>
    <w:p w:rsidR="00DA18F7" w:rsidRDefault="00DA18F7" w:rsidP="00DA18F7">
      <w:pPr>
        <w:rPr>
          <w:rFonts w:cs="Arial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304"/>
        <w:gridCol w:w="2376"/>
        <w:gridCol w:w="1991"/>
        <w:gridCol w:w="2050"/>
        <w:gridCol w:w="1624"/>
      </w:tblGrid>
      <w:tr w:rsidR="00DA18F7" w:rsidTr="00DC2FEE">
        <w:trPr>
          <w:trHeight w:val="907"/>
          <w:jc w:val="center"/>
        </w:trPr>
        <w:tc>
          <w:tcPr>
            <w:tcW w:w="697" w:type="pct"/>
          </w:tcPr>
          <w:p w:rsidR="00DA18F7" w:rsidRPr="002F3BDA" w:rsidRDefault="00DA18F7" w:rsidP="00DC2FE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1" w:type="pct"/>
          </w:tcPr>
          <w:p w:rsidR="00DA18F7" w:rsidRPr="002F3BDA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Bewilligungen</w:t>
            </w:r>
          </w:p>
        </w:tc>
        <w:tc>
          <w:tcPr>
            <w:tcW w:w="1065" w:type="pct"/>
          </w:tcPr>
          <w:p w:rsidR="00DA18F7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Erledigte</w:t>
            </w:r>
          </w:p>
          <w:p w:rsidR="00DA18F7" w:rsidRPr="002F3BDA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Bewilligungen</w:t>
            </w:r>
          </w:p>
        </w:tc>
        <w:tc>
          <w:tcPr>
            <w:tcW w:w="1097" w:type="pct"/>
          </w:tcPr>
          <w:p w:rsidR="00DA18F7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Offene</w:t>
            </w:r>
          </w:p>
          <w:p w:rsidR="00DA18F7" w:rsidRPr="002F3BDA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Bewilligungen</w:t>
            </w:r>
          </w:p>
        </w:tc>
        <w:tc>
          <w:tcPr>
            <w:tcW w:w="869" w:type="pct"/>
          </w:tcPr>
          <w:p w:rsidR="00DA18F7" w:rsidRPr="003F4A9C" w:rsidRDefault="00DA18F7" w:rsidP="00DC2F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Bearbeitungsstand</w:t>
            </w:r>
          </w:p>
        </w:tc>
      </w:tr>
      <w:tr w:rsidR="00DA18F7" w:rsidRPr="0030443C" w:rsidTr="00DC2FEE">
        <w:trPr>
          <w:jc w:val="center"/>
        </w:trPr>
        <w:tc>
          <w:tcPr>
            <w:tcW w:w="697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 w:rsidRPr="0039335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7" w:type="pct"/>
            <w:shd w:val="clear" w:color="auto" w:fill="D9D9D9" w:themeFill="background1" w:themeFillShade="D9"/>
          </w:tcPr>
          <w:p w:rsidR="00DA18F7" w:rsidRPr="0039335D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9" w:type="pct"/>
            <w:shd w:val="clear" w:color="auto" w:fill="D9D9D9" w:themeFill="background1" w:themeFillShade="D9"/>
          </w:tcPr>
          <w:p w:rsidR="00DA18F7" w:rsidRPr="0030443C" w:rsidRDefault="00DA18F7" w:rsidP="00D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94,99%</w:t>
            </w:r>
          </w:p>
        </w:tc>
      </w:tr>
    </w:tbl>
    <w:p w:rsidR="00DA18F7" w:rsidRDefault="00DA18F7" w:rsidP="00DA18F7">
      <w:pPr>
        <w:rPr>
          <w:rFonts w:cs="Arial"/>
        </w:rPr>
      </w:pPr>
    </w:p>
    <w:p w:rsidR="00DA18F7" w:rsidRPr="001441B4" w:rsidRDefault="00DA18F7" w:rsidP="00DA18F7">
      <w:pPr>
        <w:jc w:val="both"/>
        <w:rPr>
          <w:rFonts w:cs="Arial"/>
        </w:rPr>
      </w:pPr>
      <w:r>
        <w:rPr>
          <w:rFonts w:cs="Arial"/>
        </w:rPr>
        <w:t xml:space="preserve">Eine angemessene Bearbeitungszeit nach Einreichung der Verwendungsnachweise </w:t>
      </w:r>
      <w:r w:rsidRPr="00391B30">
        <w:rPr>
          <w:rFonts w:cs="Arial"/>
        </w:rPr>
        <w:t>liegt gemäß der Empfehlung des Amtes für Revision</w:t>
      </w:r>
      <w:r>
        <w:rPr>
          <w:rFonts w:cs="Arial"/>
        </w:rPr>
        <w:t xml:space="preserve"> bei 3 Monaten. Die offenen Festsetzungen 2020 sind aktuell 17 Monate im Verzug und die offenen Festsetzungen 2021 sind 4 </w:t>
      </w:r>
      <w:r w:rsidRPr="001441B4">
        <w:rPr>
          <w:rFonts w:cs="Arial"/>
        </w:rPr>
        <w:t>Monate überfällig.</w:t>
      </w:r>
    </w:p>
    <w:p w:rsidR="00DA18F7" w:rsidRPr="001441B4" w:rsidRDefault="00DA18F7" w:rsidP="00DA18F7">
      <w:pPr>
        <w:jc w:val="both"/>
        <w:rPr>
          <w:rFonts w:cs="Arial"/>
        </w:rPr>
      </w:pPr>
    </w:p>
    <w:p w:rsidR="00DA18F7" w:rsidRDefault="00DA18F7" w:rsidP="00DA18F7">
      <w:pPr>
        <w:jc w:val="both"/>
        <w:rPr>
          <w:rFonts w:cs="Arial"/>
        </w:rPr>
      </w:pPr>
      <w:r w:rsidRPr="002F3BDA">
        <w:rPr>
          <w:rFonts w:cs="Arial"/>
        </w:rPr>
        <w:t xml:space="preserve">Bei Nichtschaffung der Stelle </w:t>
      </w:r>
      <w:r>
        <w:rPr>
          <w:rFonts w:cs="Arial"/>
        </w:rPr>
        <w:t>ist die adäquate Erledigung der Kernaufgaben nicht mehr gewährleistet.</w:t>
      </w:r>
    </w:p>
    <w:p w:rsidR="00DA18F7" w:rsidRDefault="00DA18F7" w:rsidP="00DA18F7">
      <w:pPr>
        <w:jc w:val="both"/>
        <w:rPr>
          <w:rFonts w:cs="Arial"/>
        </w:rPr>
      </w:pPr>
    </w:p>
    <w:p w:rsidR="00DA18F7" w:rsidRDefault="00DA18F7" w:rsidP="00DA18F7">
      <w:pPr>
        <w:pStyle w:val="Listenabsatz"/>
        <w:numPr>
          <w:ilvl w:val="0"/>
          <w:numId w:val="6"/>
        </w:numPr>
        <w:jc w:val="both"/>
        <w:rPr>
          <w:rFonts w:cs="Arial"/>
        </w:rPr>
      </w:pPr>
      <w:r w:rsidRPr="00860EC1">
        <w:rPr>
          <w:rFonts w:cs="Arial"/>
        </w:rPr>
        <w:t xml:space="preserve">Die Bearbeitungszeiten werden sich weiter verlängern, was zur Folge hat, dass die Träger </w:t>
      </w:r>
      <w:r>
        <w:rPr>
          <w:rFonts w:cs="Arial"/>
        </w:rPr>
        <w:t>zu wenig Geld für ihre Leistungen erhalten oder, dass Überzahlungen nicht rechtzeitig festgestellt und zurückgefordert werden können.</w:t>
      </w:r>
    </w:p>
    <w:p w:rsidR="00DA18F7" w:rsidRDefault="00DA18F7" w:rsidP="00DA18F7">
      <w:pPr>
        <w:pStyle w:val="Listenabsatz"/>
        <w:ind w:left="360"/>
        <w:jc w:val="both"/>
        <w:rPr>
          <w:rFonts w:cs="Arial"/>
        </w:rPr>
      </w:pPr>
    </w:p>
    <w:p w:rsidR="00DA18F7" w:rsidRPr="006A5A2B" w:rsidRDefault="00DA18F7" w:rsidP="00DA18F7">
      <w:pPr>
        <w:pStyle w:val="Listenabsatz"/>
        <w:numPr>
          <w:ilvl w:val="0"/>
          <w:numId w:val="6"/>
        </w:numPr>
        <w:jc w:val="both"/>
        <w:rPr>
          <w:rFonts w:cs="Arial"/>
        </w:rPr>
      </w:pPr>
      <w:r w:rsidRPr="006A5A2B">
        <w:rPr>
          <w:rFonts w:cs="Arial"/>
        </w:rPr>
        <w:t>Eine Absenkung der Prüftiefe</w:t>
      </w:r>
      <w:r>
        <w:rPr>
          <w:rFonts w:cs="Arial"/>
        </w:rPr>
        <w:t xml:space="preserve"> zur Verkürzung der Bearbeitungszeiten hat zur Folge, dass </w:t>
      </w:r>
      <w:r w:rsidRPr="006A5A2B">
        <w:rPr>
          <w:rFonts w:cs="Arial"/>
        </w:rPr>
        <w:t>Ansprüche der Stadt gegenüber den Trägern in beträchtlicher Höhe nicht festgestellt werden können.</w:t>
      </w:r>
    </w:p>
    <w:p w:rsidR="00DA18F7" w:rsidRPr="006A5A2B" w:rsidRDefault="00DA18F7" w:rsidP="00DA18F7">
      <w:pPr>
        <w:pStyle w:val="Listenabsatz"/>
        <w:ind w:left="360"/>
        <w:jc w:val="both"/>
        <w:rPr>
          <w:rFonts w:cs="Arial"/>
        </w:rPr>
      </w:pPr>
    </w:p>
    <w:p w:rsidR="00DA18F7" w:rsidRDefault="00DA18F7" w:rsidP="00DA18F7">
      <w:pPr>
        <w:pStyle w:val="Listenabsatz"/>
        <w:numPr>
          <w:ilvl w:val="0"/>
          <w:numId w:val="6"/>
        </w:numPr>
        <w:jc w:val="both"/>
        <w:rPr>
          <w:rFonts w:cs="Arial"/>
        </w:rPr>
      </w:pPr>
      <w:r w:rsidRPr="006A5A2B">
        <w:rPr>
          <w:rFonts w:cs="Arial"/>
        </w:rPr>
        <w:t xml:space="preserve">Dem steigenden Beratungsbedarf der Träger kann nicht </w:t>
      </w:r>
      <w:r>
        <w:rPr>
          <w:rFonts w:cs="Arial"/>
        </w:rPr>
        <w:t>entsprochen werden. Somit ist eine Leistungserbringung im Sinne des gesamtstädtischen Interesses nicht mehr sichergestellt.</w:t>
      </w:r>
    </w:p>
    <w:p w:rsidR="00DA18F7" w:rsidRPr="00F86D52" w:rsidRDefault="00DA18F7" w:rsidP="00DA18F7">
      <w:pPr>
        <w:pStyle w:val="Listenabsatz"/>
        <w:jc w:val="both"/>
        <w:rPr>
          <w:rFonts w:cs="Arial"/>
        </w:rPr>
      </w:pPr>
    </w:p>
    <w:p w:rsidR="00DA18F7" w:rsidRDefault="00DA18F7" w:rsidP="00DA18F7">
      <w:pPr>
        <w:pStyle w:val="Listenabsatz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Begonnene Digitalisierungsprozesse müssten eingestellt werden.</w:t>
      </w:r>
    </w:p>
    <w:p w:rsidR="00DA18F7" w:rsidRPr="00C90324" w:rsidRDefault="00DA18F7" w:rsidP="00DA18F7">
      <w:pPr>
        <w:pStyle w:val="Listenabsatz"/>
        <w:jc w:val="both"/>
        <w:rPr>
          <w:rFonts w:cs="Arial"/>
        </w:rPr>
      </w:pPr>
    </w:p>
    <w:p w:rsidR="00DA18F7" w:rsidRDefault="00DA18F7" w:rsidP="00DA18F7">
      <w:pPr>
        <w:pStyle w:val="Listenabsatz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Es werden beständig weitere Arbeitsrückstände aufgebaut.</w:t>
      </w:r>
    </w:p>
    <w:p w:rsidR="00DA18F7" w:rsidRPr="00DF609E" w:rsidRDefault="00DA18F7" w:rsidP="00DA18F7">
      <w:pPr>
        <w:pStyle w:val="Listenabsatz"/>
        <w:jc w:val="both"/>
        <w:rPr>
          <w:rFonts w:cs="Arial"/>
        </w:rPr>
      </w:pPr>
    </w:p>
    <w:p w:rsidR="00DA18F7" w:rsidRDefault="00DA18F7" w:rsidP="003E2650">
      <w:pPr>
        <w:jc w:val="both"/>
        <w:rPr>
          <w:rFonts w:cs="Arial"/>
        </w:rPr>
      </w:pPr>
    </w:p>
    <w:p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E8" w:rsidRDefault="00F13BE8">
      <w:r>
        <w:separator/>
      </w:r>
    </w:p>
  </w:endnote>
  <w:endnote w:type="continuationSeparator" w:id="0">
    <w:p w:rsidR="00F13BE8" w:rsidRDefault="00F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E8" w:rsidRDefault="00F13BE8">
      <w:r>
        <w:separator/>
      </w:r>
    </w:p>
  </w:footnote>
  <w:footnote w:type="continuationSeparator" w:id="0">
    <w:p w:rsidR="00F13BE8" w:rsidRDefault="00F1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29602D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7471783"/>
    <w:multiLevelType w:val="hybridMultilevel"/>
    <w:tmpl w:val="51E88BA4"/>
    <w:lvl w:ilvl="0" w:tplc="FDECDDB0">
      <w:numFmt w:val="bullet"/>
      <w:lvlText w:val="˃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E8"/>
    <w:rsid w:val="00076456"/>
    <w:rsid w:val="0007798B"/>
    <w:rsid w:val="000A1146"/>
    <w:rsid w:val="000D6946"/>
    <w:rsid w:val="000E4C4B"/>
    <w:rsid w:val="00100866"/>
    <w:rsid w:val="00127258"/>
    <w:rsid w:val="00153F44"/>
    <w:rsid w:val="00165C0D"/>
    <w:rsid w:val="00181578"/>
    <w:rsid w:val="00181857"/>
    <w:rsid w:val="00193A16"/>
    <w:rsid w:val="001970C6"/>
    <w:rsid w:val="001A048A"/>
    <w:rsid w:val="001D2FD2"/>
    <w:rsid w:val="00213C7A"/>
    <w:rsid w:val="00215971"/>
    <w:rsid w:val="00224A04"/>
    <w:rsid w:val="0023350C"/>
    <w:rsid w:val="002402DD"/>
    <w:rsid w:val="002812E4"/>
    <w:rsid w:val="002924CB"/>
    <w:rsid w:val="0029602D"/>
    <w:rsid w:val="002C03BA"/>
    <w:rsid w:val="002C2ECA"/>
    <w:rsid w:val="002C36F1"/>
    <w:rsid w:val="002E14E4"/>
    <w:rsid w:val="002E442C"/>
    <w:rsid w:val="00303DAD"/>
    <w:rsid w:val="00321D15"/>
    <w:rsid w:val="00394BB8"/>
    <w:rsid w:val="003B4312"/>
    <w:rsid w:val="003C05EE"/>
    <w:rsid w:val="003D7B0B"/>
    <w:rsid w:val="003E2650"/>
    <w:rsid w:val="004054DF"/>
    <w:rsid w:val="00430818"/>
    <w:rsid w:val="00436B6D"/>
    <w:rsid w:val="00465C46"/>
    <w:rsid w:val="00474F47"/>
    <w:rsid w:val="004A6E7A"/>
    <w:rsid w:val="004B6796"/>
    <w:rsid w:val="005856C2"/>
    <w:rsid w:val="006134E1"/>
    <w:rsid w:val="00666CE4"/>
    <w:rsid w:val="00667CBD"/>
    <w:rsid w:val="00694161"/>
    <w:rsid w:val="006A55CB"/>
    <w:rsid w:val="006E0575"/>
    <w:rsid w:val="007138EE"/>
    <w:rsid w:val="00723653"/>
    <w:rsid w:val="00781F32"/>
    <w:rsid w:val="007879B1"/>
    <w:rsid w:val="007B200C"/>
    <w:rsid w:val="007B57B1"/>
    <w:rsid w:val="007F1C57"/>
    <w:rsid w:val="00856812"/>
    <w:rsid w:val="00884D6C"/>
    <w:rsid w:val="008F409A"/>
    <w:rsid w:val="00A1159D"/>
    <w:rsid w:val="00A34898"/>
    <w:rsid w:val="00A4179B"/>
    <w:rsid w:val="00A509C5"/>
    <w:rsid w:val="00A72460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A18F7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13BE8"/>
    <w:rsid w:val="00F27657"/>
    <w:rsid w:val="00F3775A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CB750"/>
  <w15:docId w15:val="{0703A4D7-CD56-4F91-9BC8-463BEFF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DA18F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69\AppData\Local\Temp\notes1DACC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0DCD0A-D5B5-4F18-B942-E2E2225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2</Pages>
  <Words>400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Schür, Nicole</dc:creator>
  <dc:description/>
  <cp:lastModifiedBy>Baumann, Gerhard</cp:lastModifiedBy>
  <cp:revision>11</cp:revision>
  <cp:lastPrinted>2012-11-15T11:09:00Z</cp:lastPrinted>
  <dcterms:created xsi:type="dcterms:W3CDTF">2023-07-20T07:19:00Z</dcterms:created>
  <dcterms:modified xsi:type="dcterms:W3CDTF">2023-09-28T16:00:00Z</dcterms:modified>
</cp:coreProperties>
</file>