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2E5529">
        <w:t>42</w:t>
      </w:r>
      <w:bookmarkStart w:id="0" w:name="_GoBack"/>
      <w:bookmarkEnd w:id="0"/>
      <w:r w:rsidRPr="006E0575">
        <w:t xml:space="preserve"> zur GRDrs</w:t>
      </w:r>
      <w:r w:rsidR="000261D4">
        <w:t>.</w:t>
      </w:r>
      <w:r w:rsidRPr="006E0575">
        <w:t xml:space="preserve"> </w:t>
      </w:r>
      <w:r w:rsidR="000261D4">
        <w:t>822</w:t>
      </w:r>
      <w:r w:rsidR="005F5B3D">
        <w:t>/20</w:t>
      </w:r>
      <w:r w:rsidR="00AE7B02">
        <w:t>2</w:t>
      </w:r>
      <w:r w:rsidR="00026253">
        <w:t>3</w:t>
      </w:r>
    </w:p>
    <w:p w:rsidR="003D7B0B" w:rsidRPr="006E0575" w:rsidRDefault="003D7B0B" w:rsidP="006E0575"/>
    <w:p w:rsidR="003D7B0B" w:rsidRPr="006E0575" w:rsidRDefault="003D7B0B" w:rsidP="006E0575"/>
    <w:p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D535E3">
        <w:rPr>
          <w:b/>
          <w:sz w:val="36"/>
          <w:szCs w:val="36"/>
          <w:u w:val="single"/>
        </w:rPr>
        <w:t>4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5F5B3D" w:rsidRPr="006E0575" w:rsidTr="0096038F">
        <w:trPr>
          <w:tblHeader/>
        </w:trPr>
        <w:tc>
          <w:tcPr>
            <w:tcW w:w="1701" w:type="dxa"/>
            <w:shd w:val="pct12" w:color="auto" w:fill="FFFFFF"/>
          </w:tcPr>
          <w:p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96038F"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993F3A" w:rsidRDefault="002B6F66" w:rsidP="0030686C">
            <w:pPr>
              <w:rPr>
                <w:sz w:val="20"/>
              </w:rPr>
            </w:pPr>
            <w:r>
              <w:rPr>
                <w:sz w:val="20"/>
              </w:rPr>
              <w:t>51-</w:t>
            </w:r>
            <w:r w:rsidR="00993F3A">
              <w:rPr>
                <w:sz w:val="20"/>
              </w:rPr>
              <w:t>FJ</w:t>
            </w:r>
          </w:p>
          <w:p w:rsidR="00993F3A" w:rsidRDefault="004D3605" w:rsidP="0030686C">
            <w:pPr>
              <w:rPr>
                <w:sz w:val="20"/>
              </w:rPr>
            </w:pPr>
            <w:r>
              <w:rPr>
                <w:sz w:val="20"/>
              </w:rPr>
              <w:t>51-01-</w:t>
            </w:r>
            <w:r w:rsidR="00993F3A">
              <w:rPr>
                <w:sz w:val="20"/>
              </w:rPr>
              <w:t>34 bis</w:t>
            </w:r>
          </w:p>
          <w:p w:rsidR="0011112B" w:rsidRDefault="00993F3A" w:rsidP="0030686C">
            <w:pPr>
              <w:rPr>
                <w:sz w:val="20"/>
              </w:rPr>
            </w:pPr>
            <w:r>
              <w:rPr>
                <w:sz w:val="20"/>
              </w:rPr>
              <w:t>51-11-34</w:t>
            </w:r>
            <w:r w:rsidR="00ED0261">
              <w:rPr>
                <w:sz w:val="20"/>
              </w:rPr>
              <w:t xml:space="preserve"> </w:t>
            </w:r>
          </w:p>
          <w:p w:rsidR="00ED0261" w:rsidRDefault="00ED0261" w:rsidP="0030686C">
            <w:pPr>
              <w:rPr>
                <w:sz w:val="20"/>
              </w:rPr>
            </w:pPr>
          </w:p>
          <w:p w:rsidR="005F5B3D" w:rsidRDefault="00993F3A" w:rsidP="0087408C">
            <w:pPr>
              <w:rPr>
                <w:sz w:val="20"/>
              </w:rPr>
            </w:pPr>
            <w:r>
              <w:rPr>
                <w:sz w:val="20"/>
              </w:rPr>
              <w:t>5102</w:t>
            </w:r>
            <w:r w:rsidR="000261D4">
              <w:rPr>
                <w:sz w:val="20"/>
              </w:rPr>
              <w:t xml:space="preserve"> </w:t>
            </w:r>
            <w:r>
              <w:rPr>
                <w:sz w:val="20"/>
              </w:rPr>
              <w:t>1100</w:t>
            </w:r>
          </w:p>
          <w:p w:rsidR="0087408C" w:rsidRPr="006E0575" w:rsidRDefault="0087408C" w:rsidP="0087408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B6F66" w:rsidP="00C411DD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851" w:type="dxa"/>
          </w:tcPr>
          <w:p w:rsidR="009F2A82" w:rsidRDefault="009F2A82" w:rsidP="00291A20">
            <w:pPr>
              <w:rPr>
                <w:sz w:val="20"/>
              </w:rPr>
            </w:pPr>
          </w:p>
          <w:p w:rsidR="002B6F66" w:rsidRPr="006E0575" w:rsidRDefault="00993F3A" w:rsidP="00291A20">
            <w:pPr>
              <w:rPr>
                <w:sz w:val="20"/>
              </w:rPr>
            </w:pPr>
            <w:r>
              <w:rPr>
                <w:sz w:val="20"/>
              </w:rPr>
              <w:t>EG 6</w:t>
            </w:r>
          </w:p>
        </w:tc>
        <w:tc>
          <w:tcPr>
            <w:tcW w:w="1701" w:type="dxa"/>
          </w:tcPr>
          <w:p w:rsidR="00D535E3" w:rsidRDefault="00D535E3" w:rsidP="0030686C">
            <w:pPr>
              <w:rPr>
                <w:sz w:val="20"/>
              </w:rPr>
            </w:pPr>
          </w:p>
          <w:p w:rsidR="002B6F66" w:rsidRPr="006E0575" w:rsidRDefault="000261D4" w:rsidP="0087408C">
            <w:pPr>
              <w:rPr>
                <w:sz w:val="20"/>
              </w:rPr>
            </w:pPr>
            <w:r>
              <w:rPr>
                <w:sz w:val="20"/>
              </w:rPr>
              <w:t>Sekretär/-</w:t>
            </w:r>
            <w:r w:rsidR="00993F3A">
              <w:rPr>
                <w:sz w:val="20"/>
              </w:rPr>
              <w:t>in</w:t>
            </w:r>
            <w:r w:rsidR="002B6F66">
              <w:rPr>
                <w:sz w:val="20"/>
              </w:rPr>
              <w:t xml:space="preserve"> </w:t>
            </w:r>
          </w:p>
        </w:tc>
        <w:tc>
          <w:tcPr>
            <w:tcW w:w="851" w:type="dxa"/>
            <w:shd w:val="pct12" w:color="auto" w:fill="FFFFFF"/>
          </w:tcPr>
          <w:p w:rsidR="002B6F66" w:rsidRDefault="002B6F66" w:rsidP="0030686C">
            <w:pPr>
              <w:rPr>
                <w:sz w:val="20"/>
              </w:rPr>
            </w:pPr>
          </w:p>
          <w:p w:rsidR="0087408C" w:rsidRPr="006E0575" w:rsidRDefault="00993F3A" w:rsidP="0030686C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7408C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91A20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0261D4" w:rsidP="00026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214.000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ED0261" w:rsidRDefault="00ED0261" w:rsidP="00884D6C">
      <w:r>
        <w:t xml:space="preserve">Der Schaffung von </w:t>
      </w:r>
      <w:r w:rsidR="00993F3A">
        <w:t>4</w:t>
      </w:r>
      <w:r>
        <w:t xml:space="preserve">,0 </w:t>
      </w:r>
      <w:r w:rsidR="00993F3A">
        <w:t>Sekretariatss</w:t>
      </w:r>
      <w:r>
        <w:t xml:space="preserve">tellen </w:t>
      </w:r>
      <w:r w:rsidR="00993F3A">
        <w:t>in den Beratungszentren Jugend und Familie der Abteilung Familie und Jugend</w:t>
      </w:r>
      <w:r>
        <w:t xml:space="preserve"> wird zugestimmt.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517627" w:rsidRDefault="00517627" w:rsidP="00884D6C"/>
    <w:p w:rsidR="00291A20" w:rsidRDefault="00291A20" w:rsidP="00291A20">
      <w:r>
        <w:t xml:space="preserve">Das Kriterium </w:t>
      </w:r>
      <w:r w:rsidR="0087408C">
        <w:t>Arbeitsvermehrung</w:t>
      </w:r>
      <w:r w:rsidR="00793540">
        <w:t xml:space="preserve"> </w:t>
      </w:r>
      <w:r>
        <w:t xml:space="preserve">wird im Umfang </w:t>
      </w:r>
      <w:r w:rsidR="00ED0261">
        <w:t xml:space="preserve">von </w:t>
      </w:r>
      <w:r w:rsidR="00993F3A">
        <w:t>vier</w:t>
      </w:r>
      <w:r>
        <w:t xml:space="preserve"> Stelle</w:t>
      </w:r>
      <w:r w:rsidR="00ED0261">
        <w:t>n</w:t>
      </w:r>
      <w:r>
        <w:t xml:space="preserve"> erfüllt. 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Default="003D7B0B" w:rsidP="00884D6C"/>
    <w:p w:rsidR="00993F3A" w:rsidRDefault="00993F3A" w:rsidP="00993F3A">
      <w:pPr>
        <w:tabs>
          <w:tab w:val="left" w:pos="5580"/>
        </w:tabs>
        <w:jc w:val="both"/>
        <w:rPr>
          <w:rFonts w:cs="Arial"/>
        </w:rPr>
      </w:pPr>
      <w:r>
        <w:rPr>
          <w:rFonts w:cs="Arial"/>
        </w:rPr>
        <w:t xml:space="preserve">Die Sekretariate der Beratungszentren leisten einen unverzichtbaren Beitrag dazu, dass diese ihren Schutzauftrag erfüllen, die Fälle effizient bearbeiten und die Beratung und Versorgung der Bürger*innen gelingen können. </w:t>
      </w:r>
    </w:p>
    <w:p w:rsidR="00993F3A" w:rsidRDefault="00993F3A" w:rsidP="00993F3A">
      <w:pPr>
        <w:tabs>
          <w:tab w:val="left" w:pos="5580"/>
        </w:tabs>
        <w:jc w:val="both"/>
        <w:rPr>
          <w:rFonts w:cs="Arial"/>
        </w:rPr>
      </w:pPr>
      <w:r>
        <w:rPr>
          <w:rFonts w:cs="Arial"/>
        </w:rPr>
        <w:t xml:space="preserve">Insbesondere im Kinderschutz üben die Sekretariate eine verantwortungsvolle Tätigkeit aus, indem sie Meldungen zeitnah aufnehmen, weitergeben und für einen gelingenden Informationsaustausch sorgen. </w:t>
      </w:r>
    </w:p>
    <w:p w:rsidR="00993F3A" w:rsidRDefault="00993F3A" w:rsidP="00993F3A">
      <w:pPr>
        <w:tabs>
          <w:tab w:val="left" w:pos="5580"/>
        </w:tabs>
        <w:jc w:val="both"/>
        <w:rPr>
          <w:rFonts w:cs="Arial"/>
        </w:rPr>
      </w:pPr>
      <w:r>
        <w:rPr>
          <w:rFonts w:cs="Arial"/>
        </w:rPr>
        <w:t>Darüber hinaus sind sie die ersten Ansprechpartner</w:t>
      </w:r>
      <w:r w:rsidR="000261D4">
        <w:rPr>
          <w:rFonts w:cs="Arial"/>
        </w:rPr>
        <w:t>/-</w:t>
      </w:r>
      <w:r>
        <w:rPr>
          <w:rFonts w:cs="Arial"/>
        </w:rPr>
        <w:t>innen für Bürger</w:t>
      </w:r>
      <w:r w:rsidR="000261D4">
        <w:rPr>
          <w:rFonts w:cs="Arial"/>
        </w:rPr>
        <w:t>/-</w:t>
      </w:r>
      <w:r>
        <w:rPr>
          <w:rFonts w:cs="Arial"/>
        </w:rPr>
        <w:t xml:space="preserve">innen am Empfang und organisieren die Willkommensbesuche, welche ein wertvolles Präventionsangebot für die Familien mit Neugeborenen darstellen. 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993F3A" w:rsidRPr="004D6702" w:rsidRDefault="00993F3A" w:rsidP="00993F3A">
      <w:pPr>
        <w:jc w:val="both"/>
      </w:pPr>
      <w:r w:rsidRPr="002E60CB">
        <w:rPr>
          <w:rFonts w:cs="Arial"/>
        </w:rPr>
        <w:t>Die Sekretariate in den Beratungszentren sind Dienstleister für die Bürger</w:t>
      </w:r>
      <w:r w:rsidR="000261D4">
        <w:rPr>
          <w:rFonts w:cs="Arial"/>
        </w:rPr>
        <w:t>/-</w:t>
      </w:r>
      <w:r>
        <w:rPr>
          <w:rFonts w:cs="Arial"/>
        </w:rPr>
        <w:t xml:space="preserve">innen </w:t>
      </w:r>
      <w:r w:rsidRPr="002E60CB">
        <w:rPr>
          <w:rFonts w:cs="Arial"/>
        </w:rPr>
        <w:t>im Stadtteil und für die eigenen Teams und sind unverzichtbar für den Schutz- und Versorgungsauftrag der Beratungszentren</w:t>
      </w:r>
      <w:r w:rsidRPr="002E60CB">
        <w:rPr>
          <w:rStyle w:val="Kommentarzeichen"/>
        </w:rPr>
        <w:t xml:space="preserve">. </w:t>
      </w:r>
    </w:p>
    <w:p w:rsidR="00993F3A" w:rsidRPr="00FD36D6" w:rsidRDefault="00993F3A" w:rsidP="00993F3A">
      <w:pPr>
        <w:jc w:val="both"/>
        <w:rPr>
          <w:rFonts w:cs="Arial"/>
        </w:rPr>
      </w:pPr>
      <w:r w:rsidRPr="002E60CB">
        <w:rPr>
          <w:rFonts w:cs="Arial"/>
        </w:rPr>
        <w:lastRenderedPageBreak/>
        <w:t>Die Belastungsgrenze in</w:t>
      </w:r>
      <w:r w:rsidRPr="00FD36D6">
        <w:rPr>
          <w:rFonts w:cs="Arial"/>
        </w:rPr>
        <w:t xml:space="preserve"> den Sekretariaten ist durch den </w:t>
      </w:r>
      <w:r>
        <w:rPr>
          <w:rFonts w:cs="Arial"/>
        </w:rPr>
        <w:t xml:space="preserve">Personalzuwachs und -fluktuation, die enorme Fallzahlsteigerung und den Zuwachs an weiteren Aufgaben </w:t>
      </w:r>
      <w:r w:rsidRPr="00FD36D6">
        <w:rPr>
          <w:rFonts w:cs="Arial"/>
        </w:rPr>
        <w:t xml:space="preserve">erreicht. </w:t>
      </w:r>
    </w:p>
    <w:p w:rsidR="00291A20" w:rsidRDefault="00291A20" w:rsidP="00291A20"/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993F3A" w:rsidRDefault="00993F3A" w:rsidP="00993F3A">
      <w:pPr>
        <w:jc w:val="both"/>
        <w:rPr>
          <w:rFonts w:cs="Arial"/>
        </w:rPr>
      </w:pPr>
      <w:r>
        <w:rPr>
          <w:rFonts w:cs="Arial"/>
        </w:rPr>
        <w:t>Für die Beratungszentren wird es auf Grund von mangelnden Ressourcen in Anliegen Klärung, Organisation und Verwaltung zunehmend schwieriger</w:t>
      </w:r>
      <w:r w:rsidR="000261D4">
        <w:rPr>
          <w:rFonts w:cs="Arial"/>
        </w:rPr>
        <w:t>,</w:t>
      </w:r>
      <w:r>
        <w:rPr>
          <w:rFonts w:cs="Arial"/>
        </w:rPr>
        <w:t xml:space="preserve"> ihren Pflichtaufgaben im Kinderschutz und in der Versorgung der Stuttgarter Familien nachzukommen. </w:t>
      </w:r>
      <w:r w:rsidRPr="00FD36D6">
        <w:rPr>
          <w:rFonts w:cs="Arial"/>
        </w:rPr>
        <w:t>Die Aufgaben der Sekretariate müssen zusätzlich von anderen Fachkräften übernommen werden, was zu Lasten der Beratung und Sozialarbeit geht.</w:t>
      </w:r>
      <w:r>
        <w:rPr>
          <w:rFonts w:cs="Arial"/>
        </w:rPr>
        <w:t xml:space="preserve"> Überbelastungen führen zu weiteren häufigen Erkrankungen. Es wird auf Grund der derzeitigen Arbeitsbelastung zunehmend schwieriger qualifizierte Fachkräfte für die Sekretariate zu finden und zu halten.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C411DD" w:rsidRDefault="000261D4" w:rsidP="00C411DD">
      <w:r>
        <w:t>-</w:t>
      </w:r>
    </w:p>
    <w:sectPr w:rsidR="00C411D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9E" w:rsidRDefault="00BD4C9E">
      <w:r>
        <w:separator/>
      </w:r>
    </w:p>
  </w:endnote>
  <w:endnote w:type="continuationSeparator" w:id="0">
    <w:p w:rsidR="00BD4C9E" w:rsidRDefault="00BD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9E" w:rsidRDefault="00BD4C9E">
      <w:r>
        <w:separator/>
      </w:r>
    </w:p>
  </w:footnote>
  <w:footnote w:type="continuationSeparator" w:id="0">
    <w:p w:rsidR="00BD4C9E" w:rsidRDefault="00BD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2E5529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43E67"/>
    <w:multiLevelType w:val="hybridMultilevel"/>
    <w:tmpl w:val="4066D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A42B0"/>
    <w:multiLevelType w:val="hybridMultilevel"/>
    <w:tmpl w:val="2F52AD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4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350965B1"/>
    <w:multiLevelType w:val="hybridMultilevel"/>
    <w:tmpl w:val="16F4D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3213"/>
    <w:multiLevelType w:val="hybridMultilevel"/>
    <w:tmpl w:val="747AE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96AB2"/>
    <w:multiLevelType w:val="hybridMultilevel"/>
    <w:tmpl w:val="8E90A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9" w15:restartNumberingAfterBreak="0">
    <w:nsid w:val="6DB039A0"/>
    <w:multiLevelType w:val="hybridMultilevel"/>
    <w:tmpl w:val="BD9A5A4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044435"/>
    <w:multiLevelType w:val="hybridMultilevel"/>
    <w:tmpl w:val="E4E0EAEC"/>
    <w:lvl w:ilvl="0" w:tplc="52A037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738D3598"/>
    <w:multiLevelType w:val="hybridMultilevel"/>
    <w:tmpl w:val="11AC558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9E"/>
    <w:rsid w:val="000261D4"/>
    <w:rsid w:val="00026253"/>
    <w:rsid w:val="00055758"/>
    <w:rsid w:val="00061F0B"/>
    <w:rsid w:val="000A1146"/>
    <w:rsid w:val="001034AF"/>
    <w:rsid w:val="0011112B"/>
    <w:rsid w:val="0012714F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F7237"/>
    <w:rsid w:val="002322E5"/>
    <w:rsid w:val="00291A20"/>
    <w:rsid w:val="002924CB"/>
    <w:rsid w:val="002A20D1"/>
    <w:rsid w:val="002A4DE3"/>
    <w:rsid w:val="002B5955"/>
    <w:rsid w:val="002B6F66"/>
    <w:rsid w:val="002E5529"/>
    <w:rsid w:val="0030686C"/>
    <w:rsid w:val="00380937"/>
    <w:rsid w:val="00397717"/>
    <w:rsid w:val="003C1B07"/>
    <w:rsid w:val="003D7B0B"/>
    <w:rsid w:val="003E0F4B"/>
    <w:rsid w:val="003F0FAA"/>
    <w:rsid w:val="004215FE"/>
    <w:rsid w:val="00425391"/>
    <w:rsid w:val="00470135"/>
    <w:rsid w:val="0047606A"/>
    <w:rsid w:val="004908B5"/>
    <w:rsid w:val="0049121B"/>
    <w:rsid w:val="004A1688"/>
    <w:rsid w:val="004B6796"/>
    <w:rsid w:val="004D3605"/>
    <w:rsid w:val="00517627"/>
    <w:rsid w:val="005A0A9D"/>
    <w:rsid w:val="005A56AA"/>
    <w:rsid w:val="005E19C6"/>
    <w:rsid w:val="005F5B3D"/>
    <w:rsid w:val="00606F80"/>
    <w:rsid w:val="00622CC7"/>
    <w:rsid w:val="006A406B"/>
    <w:rsid w:val="006B6D50"/>
    <w:rsid w:val="006E0575"/>
    <w:rsid w:val="0070160A"/>
    <w:rsid w:val="0072799A"/>
    <w:rsid w:val="00754659"/>
    <w:rsid w:val="00766777"/>
    <w:rsid w:val="00793540"/>
    <w:rsid w:val="007E3B79"/>
    <w:rsid w:val="008066EE"/>
    <w:rsid w:val="00812663"/>
    <w:rsid w:val="00817BB6"/>
    <w:rsid w:val="0087408C"/>
    <w:rsid w:val="00884D6C"/>
    <w:rsid w:val="008E2E90"/>
    <w:rsid w:val="00920F00"/>
    <w:rsid w:val="009230EA"/>
    <w:rsid w:val="009373F6"/>
    <w:rsid w:val="00946276"/>
    <w:rsid w:val="0096038F"/>
    <w:rsid w:val="00976588"/>
    <w:rsid w:val="00993F3A"/>
    <w:rsid w:val="009F2A82"/>
    <w:rsid w:val="00A27CA7"/>
    <w:rsid w:val="00A45B30"/>
    <w:rsid w:val="00A71D0A"/>
    <w:rsid w:val="00A77F1E"/>
    <w:rsid w:val="00A847C4"/>
    <w:rsid w:val="00AB389D"/>
    <w:rsid w:val="00AE7B02"/>
    <w:rsid w:val="00AF0DEA"/>
    <w:rsid w:val="00AF25E0"/>
    <w:rsid w:val="00AF39EB"/>
    <w:rsid w:val="00B04290"/>
    <w:rsid w:val="00B80DEF"/>
    <w:rsid w:val="00B86BB5"/>
    <w:rsid w:val="00B91903"/>
    <w:rsid w:val="00BC4669"/>
    <w:rsid w:val="00BD4C9E"/>
    <w:rsid w:val="00C16EF1"/>
    <w:rsid w:val="00C411DD"/>
    <w:rsid w:val="00C448D3"/>
    <w:rsid w:val="00CB026B"/>
    <w:rsid w:val="00CF62E5"/>
    <w:rsid w:val="00D535E3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7118F"/>
    <w:rsid w:val="00ED0261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CBB2E"/>
  <w15:docId w15:val="{03E6D91D-C66B-4704-98E1-F697915D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42539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11DD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rsid w:val="00291A20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alibri Light" w:hAnsi="Calibri Light"/>
      <w:kern w:val="1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291A20"/>
    <w:rPr>
      <w:rFonts w:ascii="Calibri Light" w:hAnsi="Calibri Light"/>
      <w:kern w:val="1"/>
      <w:szCs w:val="20"/>
    </w:rPr>
  </w:style>
  <w:style w:type="table" w:styleId="Tabellenraster">
    <w:name w:val="Table Grid"/>
    <w:basedOn w:val="NormaleTabelle"/>
    <w:uiPriority w:val="59"/>
    <w:rsid w:val="008740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rsid w:val="00993F3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7-3\17-3Alle\10-3200%20STELLENPLAN\10-3220%20Vordrucke%20Vorlagen%20Muster\Vordrucke%20f&#252;r%202024-25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286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Baumann, Gerhard</dc:creator>
  <cp:lastModifiedBy>Baumann, Gerhard</cp:lastModifiedBy>
  <cp:revision>6</cp:revision>
  <cp:lastPrinted>2012-11-15T10:58:00Z</cp:lastPrinted>
  <dcterms:created xsi:type="dcterms:W3CDTF">2023-07-13T10:56:00Z</dcterms:created>
  <dcterms:modified xsi:type="dcterms:W3CDTF">2023-09-28T15:27:00Z</dcterms:modified>
</cp:coreProperties>
</file>