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AED81" w14:textId="7802D53A" w:rsidR="003D7B0B" w:rsidRPr="006E0575" w:rsidRDefault="003D7B0B" w:rsidP="00397717">
      <w:pPr>
        <w:jc w:val="right"/>
      </w:pPr>
      <w:r w:rsidRPr="006E0575">
        <w:t xml:space="preserve">Anlage </w:t>
      </w:r>
      <w:r w:rsidR="00E3170F">
        <w:t>19</w:t>
      </w:r>
      <w:r w:rsidRPr="006E0575">
        <w:t xml:space="preserve"> zur GRDrs</w:t>
      </w:r>
      <w:r w:rsidR="00E3170F">
        <w:t>.</w:t>
      </w:r>
      <w:r w:rsidRPr="006E0575">
        <w:t xml:space="preserve"> </w:t>
      </w:r>
      <w:r w:rsidR="00E3170F">
        <w:t>822</w:t>
      </w:r>
      <w:r w:rsidR="005F5B3D">
        <w:t>/20</w:t>
      </w:r>
      <w:r w:rsidR="00AE7B02">
        <w:t>2</w:t>
      </w:r>
      <w:r w:rsidR="00026253">
        <w:t>3</w:t>
      </w:r>
    </w:p>
    <w:p w14:paraId="03264515" w14:textId="77777777" w:rsidR="003D7B0B" w:rsidRPr="006E0575" w:rsidRDefault="003D7B0B" w:rsidP="006E0575"/>
    <w:p w14:paraId="6E34FA96" w14:textId="77777777" w:rsidR="003D7B0B" w:rsidRPr="006E0575" w:rsidRDefault="003D7B0B" w:rsidP="006E0575"/>
    <w:p w14:paraId="017E4309" w14:textId="77777777" w:rsidR="003E0F4B" w:rsidRDefault="003D7B0B" w:rsidP="00397717">
      <w:pPr>
        <w:jc w:val="center"/>
        <w:rPr>
          <w:b/>
          <w:sz w:val="36"/>
        </w:rPr>
      </w:pPr>
      <w:r>
        <w:rPr>
          <w:b/>
          <w:sz w:val="36"/>
          <w:u w:val="single"/>
        </w:rPr>
        <w:t>Stellenschaffun</w:t>
      </w:r>
      <w:r w:rsidRPr="00AB389D">
        <w:rPr>
          <w:b/>
          <w:sz w:val="36"/>
        </w:rPr>
        <w:t>g</w:t>
      </w:r>
    </w:p>
    <w:p w14:paraId="63DE6218" w14:textId="1FBAFC19"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B61D4B">
        <w:rPr>
          <w:b/>
          <w:sz w:val="36"/>
          <w:szCs w:val="36"/>
          <w:u w:val="single"/>
        </w:rPr>
        <w:t>4</w:t>
      </w:r>
    </w:p>
    <w:p w14:paraId="65662AE7" w14:textId="77777777" w:rsidR="003D7B0B" w:rsidRDefault="003D7B0B" w:rsidP="006E0575">
      <w:pPr>
        <w:rPr>
          <w:u w:val="single"/>
        </w:rPr>
      </w:pPr>
    </w:p>
    <w:p w14:paraId="1B88D2B6" w14:textId="77777777" w:rsidR="00DE362D" w:rsidRPr="00E42F96" w:rsidRDefault="00DE362D" w:rsidP="006E0575">
      <w:pPr>
        <w:rPr>
          <w:u w:val="single"/>
        </w:rPr>
      </w:pPr>
    </w:p>
    <w:tbl>
      <w:tblPr>
        <w:tblW w:w="952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14:paraId="62CE7849" w14:textId="77777777" w:rsidTr="00311433">
        <w:trPr>
          <w:tblHeader/>
        </w:trPr>
        <w:tc>
          <w:tcPr>
            <w:tcW w:w="1701" w:type="dxa"/>
            <w:shd w:val="pct12" w:color="auto" w:fill="FFFFFF"/>
          </w:tcPr>
          <w:p w14:paraId="6B084E15" w14:textId="77777777"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14:paraId="38A85DC9" w14:textId="77777777" w:rsidR="005F5B3D" w:rsidRPr="006E0575" w:rsidRDefault="005F5B3D" w:rsidP="003E0F4B">
            <w:pPr>
              <w:spacing w:before="120" w:after="120" w:line="200" w:lineRule="exact"/>
              <w:rPr>
                <w:sz w:val="16"/>
                <w:szCs w:val="16"/>
              </w:rPr>
            </w:pPr>
            <w:r>
              <w:rPr>
                <w:sz w:val="16"/>
                <w:szCs w:val="16"/>
              </w:rPr>
              <w:t>Kostenstelle</w:t>
            </w:r>
          </w:p>
        </w:tc>
        <w:tc>
          <w:tcPr>
            <w:tcW w:w="1701" w:type="dxa"/>
            <w:shd w:val="pct12" w:color="auto" w:fill="FFFFFF"/>
          </w:tcPr>
          <w:p w14:paraId="2E22C010" w14:textId="77777777" w:rsidR="005F5B3D" w:rsidRPr="006E0575" w:rsidRDefault="005F5B3D" w:rsidP="003E0F4B">
            <w:pPr>
              <w:spacing w:before="120" w:after="120" w:line="200" w:lineRule="exact"/>
              <w:rPr>
                <w:sz w:val="16"/>
                <w:szCs w:val="16"/>
              </w:rPr>
            </w:pPr>
            <w:r w:rsidRPr="006E0575">
              <w:rPr>
                <w:sz w:val="16"/>
                <w:szCs w:val="16"/>
              </w:rPr>
              <w:t>Amt</w:t>
            </w:r>
          </w:p>
        </w:tc>
        <w:tc>
          <w:tcPr>
            <w:tcW w:w="851" w:type="dxa"/>
            <w:shd w:val="pct12" w:color="auto" w:fill="FFFFFF"/>
          </w:tcPr>
          <w:p w14:paraId="062EE9B4" w14:textId="77777777" w:rsidR="00DE362D" w:rsidRDefault="00606F80" w:rsidP="003E0F4B">
            <w:pPr>
              <w:spacing w:before="120" w:after="120" w:line="200" w:lineRule="exact"/>
              <w:rPr>
                <w:sz w:val="16"/>
                <w:szCs w:val="16"/>
              </w:rPr>
            </w:pPr>
            <w:r>
              <w:rPr>
                <w:sz w:val="16"/>
                <w:szCs w:val="16"/>
              </w:rPr>
              <w:t>BesGr.</w:t>
            </w:r>
          </w:p>
          <w:p w14:paraId="50C8413B" w14:textId="77777777" w:rsidR="00DE362D" w:rsidRDefault="00606F80" w:rsidP="003E0F4B">
            <w:pPr>
              <w:spacing w:before="120" w:after="120" w:line="200" w:lineRule="exact"/>
              <w:rPr>
                <w:sz w:val="16"/>
                <w:szCs w:val="16"/>
              </w:rPr>
            </w:pPr>
            <w:r>
              <w:rPr>
                <w:sz w:val="16"/>
                <w:szCs w:val="16"/>
              </w:rPr>
              <w:t>oder</w:t>
            </w:r>
          </w:p>
          <w:p w14:paraId="2D7B6008" w14:textId="77777777"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14:paraId="711FE673" w14:textId="77777777"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14:paraId="6FD8B7EB" w14:textId="77777777"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14:paraId="6814B32C" w14:textId="77777777"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14:paraId="7D2A821C" w14:textId="77777777"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311433" w:rsidRPr="006E0575" w14:paraId="50298AD8" w14:textId="77777777" w:rsidTr="00311433">
        <w:tc>
          <w:tcPr>
            <w:tcW w:w="1701" w:type="dxa"/>
          </w:tcPr>
          <w:p w14:paraId="21AF0B96" w14:textId="77777777" w:rsidR="00311433" w:rsidRDefault="00311433" w:rsidP="00311433">
            <w:pPr>
              <w:rPr>
                <w:sz w:val="20"/>
              </w:rPr>
            </w:pPr>
          </w:p>
          <w:p w14:paraId="535C3D87" w14:textId="7DB11F39" w:rsidR="00311433" w:rsidRDefault="00311433" w:rsidP="00311433">
            <w:pPr>
              <w:rPr>
                <w:sz w:val="20"/>
              </w:rPr>
            </w:pPr>
            <w:r>
              <w:rPr>
                <w:sz w:val="20"/>
              </w:rPr>
              <w:t>40</w:t>
            </w:r>
            <w:r w:rsidR="00B31002">
              <w:rPr>
                <w:sz w:val="20"/>
              </w:rPr>
              <w:t>-3.3</w:t>
            </w:r>
          </w:p>
          <w:p w14:paraId="14B13B30" w14:textId="77777777" w:rsidR="00311433" w:rsidRDefault="00311433" w:rsidP="00311433">
            <w:pPr>
              <w:rPr>
                <w:sz w:val="20"/>
              </w:rPr>
            </w:pPr>
          </w:p>
          <w:p w14:paraId="6E385D6D" w14:textId="6365FF74" w:rsidR="00311433" w:rsidRDefault="00311433" w:rsidP="00311433">
            <w:pPr>
              <w:rPr>
                <w:sz w:val="20"/>
              </w:rPr>
            </w:pPr>
            <w:r>
              <w:rPr>
                <w:sz w:val="20"/>
              </w:rPr>
              <w:t>4033</w:t>
            </w:r>
            <w:r w:rsidR="00E3170F">
              <w:rPr>
                <w:sz w:val="20"/>
              </w:rPr>
              <w:t xml:space="preserve"> </w:t>
            </w:r>
            <w:r>
              <w:rPr>
                <w:sz w:val="20"/>
              </w:rPr>
              <w:t>7000</w:t>
            </w:r>
          </w:p>
          <w:p w14:paraId="03651942" w14:textId="77777777" w:rsidR="00311433" w:rsidRDefault="00311433" w:rsidP="00311433">
            <w:pPr>
              <w:rPr>
                <w:sz w:val="20"/>
              </w:rPr>
            </w:pPr>
          </w:p>
          <w:p w14:paraId="7C1206BD" w14:textId="77777777" w:rsidR="00311433" w:rsidRPr="006E0575" w:rsidRDefault="00311433" w:rsidP="00311433">
            <w:pPr>
              <w:rPr>
                <w:sz w:val="20"/>
              </w:rPr>
            </w:pPr>
          </w:p>
        </w:tc>
        <w:tc>
          <w:tcPr>
            <w:tcW w:w="1701" w:type="dxa"/>
          </w:tcPr>
          <w:p w14:paraId="439258CB" w14:textId="77777777" w:rsidR="00311433" w:rsidRDefault="00311433" w:rsidP="00311433">
            <w:pPr>
              <w:rPr>
                <w:sz w:val="20"/>
              </w:rPr>
            </w:pPr>
          </w:p>
          <w:p w14:paraId="4D369883" w14:textId="2387B2A0" w:rsidR="00311433" w:rsidRPr="006E0575" w:rsidRDefault="004332CD" w:rsidP="00B31002">
            <w:pPr>
              <w:rPr>
                <w:sz w:val="20"/>
              </w:rPr>
            </w:pPr>
            <w:r>
              <w:rPr>
                <w:sz w:val="20"/>
              </w:rPr>
              <w:t>Schulverwaltungsamt</w:t>
            </w:r>
          </w:p>
        </w:tc>
        <w:tc>
          <w:tcPr>
            <w:tcW w:w="851" w:type="dxa"/>
          </w:tcPr>
          <w:p w14:paraId="59FF8515" w14:textId="77777777" w:rsidR="00311433" w:rsidRDefault="00311433" w:rsidP="00311433">
            <w:pPr>
              <w:rPr>
                <w:sz w:val="20"/>
              </w:rPr>
            </w:pPr>
          </w:p>
          <w:p w14:paraId="202CDE85" w14:textId="3AA151BE" w:rsidR="00311433" w:rsidRPr="006E0575" w:rsidRDefault="00311433" w:rsidP="00311433">
            <w:pPr>
              <w:rPr>
                <w:sz w:val="20"/>
              </w:rPr>
            </w:pPr>
            <w:r>
              <w:rPr>
                <w:sz w:val="20"/>
              </w:rPr>
              <w:t>EG 11</w:t>
            </w:r>
          </w:p>
        </w:tc>
        <w:tc>
          <w:tcPr>
            <w:tcW w:w="1701" w:type="dxa"/>
          </w:tcPr>
          <w:p w14:paraId="59C9BB11" w14:textId="77777777" w:rsidR="00311433" w:rsidRDefault="00311433" w:rsidP="00311433">
            <w:pPr>
              <w:rPr>
                <w:sz w:val="20"/>
              </w:rPr>
            </w:pPr>
          </w:p>
          <w:p w14:paraId="2B1A5B3C" w14:textId="2A359681" w:rsidR="00311433" w:rsidRDefault="00311433" w:rsidP="00311433">
            <w:pPr>
              <w:rPr>
                <w:sz w:val="20"/>
              </w:rPr>
            </w:pPr>
            <w:r>
              <w:rPr>
                <w:sz w:val="20"/>
              </w:rPr>
              <w:t>Sachbearbeiter</w:t>
            </w:r>
            <w:r w:rsidR="00E3170F">
              <w:rPr>
                <w:sz w:val="20"/>
              </w:rPr>
              <w:t>/ -in</w:t>
            </w:r>
          </w:p>
          <w:p w14:paraId="1CDCE9AE" w14:textId="77777777" w:rsidR="00311433" w:rsidRPr="006E0575" w:rsidRDefault="00311433" w:rsidP="00311433">
            <w:pPr>
              <w:rPr>
                <w:sz w:val="20"/>
              </w:rPr>
            </w:pPr>
          </w:p>
        </w:tc>
        <w:tc>
          <w:tcPr>
            <w:tcW w:w="851" w:type="dxa"/>
            <w:shd w:val="pct12" w:color="auto" w:fill="FFFFFF"/>
          </w:tcPr>
          <w:p w14:paraId="611595F0" w14:textId="77777777" w:rsidR="00311433" w:rsidRDefault="00311433" w:rsidP="00311433">
            <w:pPr>
              <w:rPr>
                <w:sz w:val="20"/>
              </w:rPr>
            </w:pPr>
          </w:p>
          <w:p w14:paraId="51F3B24A" w14:textId="14260583" w:rsidR="00311433" w:rsidRPr="006E0575" w:rsidRDefault="00311433" w:rsidP="00311433">
            <w:pPr>
              <w:rPr>
                <w:sz w:val="20"/>
              </w:rPr>
            </w:pPr>
            <w:r>
              <w:rPr>
                <w:sz w:val="20"/>
              </w:rPr>
              <w:t>4,4</w:t>
            </w:r>
          </w:p>
        </w:tc>
        <w:tc>
          <w:tcPr>
            <w:tcW w:w="1134" w:type="dxa"/>
          </w:tcPr>
          <w:p w14:paraId="610B4AF1" w14:textId="77777777" w:rsidR="00311433" w:rsidRDefault="00311433" w:rsidP="00311433">
            <w:pPr>
              <w:rPr>
                <w:sz w:val="20"/>
              </w:rPr>
            </w:pPr>
          </w:p>
          <w:p w14:paraId="1371C368" w14:textId="0F98239A" w:rsidR="00311433" w:rsidRPr="006E0575" w:rsidRDefault="00311433" w:rsidP="00311433">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45524B">
              <w:rPr>
                <w:noProof/>
                <w:sz w:val="20"/>
              </w:rPr>
              <w:t> </w:t>
            </w:r>
            <w:r w:rsidR="0045524B">
              <w:rPr>
                <w:noProof/>
                <w:sz w:val="20"/>
              </w:rPr>
              <w:t> </w:t>
            </w:r>
            <w:r w:rsidR="0045524B">
              <w:rPr>
                <w:noProof/>
                <w:sz w:val="20"/>
              </w:rPr>
              <w:t> </w:t>
            </w:r>
            <w:r w:rsidR="0045524B">
              <w:rPr>
                <w:noProof/>
                <w:sz w:val="20"/>
              </w:rPr>
              <w:t> </w:t>
            </w:r>
            <w:r w:rsidR="0045524B">
              <w:rPr>
                <w:noProof/>
                <w:sz w:val="20"/>
              </w:rPr>
              <w:t> </w:t>
            </w:r>
            <w:r>
              <w:rPr>
                <w:sz w:val="20"/>
              </w:rPr>
              <w:fldChar w:fldCharType="end"/>
            </w:r>
          </w:p>
        </w:tc>
        <w:tc>
          <w:tcPr>
            <w:tcW w:w="1588" w:type="dxa"/>
          </w:tcPr>
          <w:p w14:paraId="31D81D29" w14:textId="77777777" w:rsidR="00311433" w:rsidRDefault="00311433" w:rsidP="00311433">
            <w:pPr>
              <w:rPr>
                <w:sz w:val="20"/>
              </w:rPr>
            </w:pPr>
          </w:p>
          <w:p w14:paraId="1773CA6E" w14:textId="64DB9912" w:rsidR="00311433" w:rsidRPr="006E0575" w:rsidRDefault="00E3170F" w:rsidP="004332CD">
            <w:pPr>
              <w:rPr>
                <w:sz w:val="20"/>
              </w:rPr>
            </w:pPr>
            <w:r>
              <w:rPr>
                <w:sz w:val="20"/>
              </w:rPr>
              <w:t>352.440</w:t>
            </w:r>
          </w:p>
        </w:tc>
      </w:tr>
    </w:tbl>
    <w:p w14:paraId="64C052BD" w14:textId="77777777"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14:paraId="4133076F" w14:textId="77777777" w:rsidR="003D7B0B" w:rsidRDefault="003D7B0B" w:rsidP="00884D6C"/>
    <w:p w14:paraId="409A354A" w14:textId="370BAAD9" w:rsidR="00C6740B" w:rsidRPr="004746D3" w:rsidRDefault="004332CD" w:rsidP="00C6740B">
      <w:r>
        <w:t>Der</w:t>
      </w:r>
      <w:r w:rsidR="00E01461">
        <w:t xml:space="preserve"> Schaffung von 4</w:t>
      </w:r>
      <w:r w:rsidR="00E433E4">
        <w:t xml:space="preserve">,4 </w:t>
      </w:r>
      <w:r w:rsidR="00C6740B">
        <w:t>Stellen</w:t>
      </w:r>
      <w:r w:rsidR="002755C1">
        <w:t xml:space="preserve"> </w:t>
      </w:r>
      <w:r>
        <w:t>in EG 11</w:t>
      </w:r>
      <w:r w:rsidR="002755C1">
        <w:t xml:space="preserve"> für die Sachbearbeitung </w:t>
      </w:r>
      <w:r w:rsidR="004A0314">
        <w:t>(Ingenieure</w:t>
      </w:r>
      <w:r w:rsidR="00E3170F">
        <w:t>/-innen</w:t>
      </w:r>
      <w:r w:rsidR="004A0314">
        <w:t xml:space="preserve">) </w:t>
      </w:r>
      <w:r w:rsidR="002755C1">
        <w:t xml:space="preserve">im </w:t>
      </w:r>
      <w:r w:rsidR="00E433E4">
        <w:t xml:space="preserve">Bereich Betreiberverantwortung </w:t>
      </w:r>
      <w:r w:rsidR="002755C1">
        <w:t xml:space="preserve">von Schul- und Schulsportanlagen </w:t>
      </w:r>
      <w:r w:rsidR="00E433E4">
        <w:t>des Schulverwaltungsamtes</w:t>
      </w:r>
      <w:r>
        <w:t xml:space="preserve"> wird </w:t>
      </w:r>
      <w:r w:rsidRPr="004746D3">
        <w:t>zugestimmt.</w:t>
      </w:r>
    </w:p>
    <w:p w14:paraId="461B2E97" w14:textId="77777777" w:rsidR="003D7B0B" w:rsidRDefault="003D7B0B" w:rsidP="00884D6C">
      <w:pPr>
        <w:pStyle w:val="berschrift1"/>
      </w:pPr>
      <w:r>
        <w:t>2</w:t>
      </w:r>
      <w:r>
        <w:tab/>
        <w:t>Schaffun</w:t>
      </w:r>
      <w:r w:rsidRPr="00884D6C">
        <w:rPr>
          <w:u w:val="none"/>
        </w:rPr>
        <w:t>g</w:t>
      </w:r>
      <w:r>
        <w:t>skriterien</w:t>
      </w:r>
    </w:p>
    <w:p w14:paraId="1BD73A5D" w14:textId="77777777" w:rsidR="003D7B0B" w:rsidRDefault="003D7B0B" w:rsidP="00884D6C"/>
    <w:p w14:paraId="2AE6C91E" w14:textId="1D7AFB63" w:rsidR="002755C1" w:rsidRDefault="00D172E1" w:rsidP="002755C1">
      <w:r>
        <w:t>Das Kriterium der erheblichen Arbeitsvermehrung ist im Umfang von 4,4 Stellen erfüllt.</w:t>
      </w:r>
    </w:p>
    <w:p w14:paraId="5E8323CA" w14:textId="77777777" w:rsidR="003D7B0B" w:rsidRDefault="003D7B0B" w:rsidP="00884D6C">
      <w:pPr>
        <w:pStyle w:val="berschrift1"/>
      </w:pPr>
      <w:r>
        <w:t>3</w:t>
      </w:r>
      <w:r>
        <w:tab/>
        <w:t>Bedarf</w:t>
      </w:r>
    </w:p>
    <w:p w14:paraId="6800EFEC" w14:textId="77777777" w:rsidR="003D7B0B" w:rsidRPr="00884D6C" w:rsidRDefault="00884D6C" w:rsidP="00884D6C">
      <w:pPr>
        <w:pStyle w:val="berschrift2"/>
      </w:pPr>
      <w:r w:rsidRPr="00884D6C">
        <w:t>3.1</w:t>
      </w:r>
      <w:r w:rsidRPr="00884D6C">
        <w:tab/>
      </w:r>
      <w:r w:rsidR="006E0575" w:rsidRPr="00884D6C">
        <w:t>Anlass</w:t>
      </w:r>
    </w:p>
    <w:p w14:paraId="07010E06" w14:textId="77777777" w:rsidR="003D7B0B" w:rsidRDefault="003D7B0B" w:rsidP="00884D6C"/>
    <w:p w14:paraId="3D5B7E07" w14:textId="6283CFC9" w:rsidR="00BE2CC9" w:rsidRPr="005A6CEB" w:rsidRDefault="004332CD" w:rsidP="002A56C4">
      <w:pPr>
        <w:rPr>
          <w:rFonts w:cs="Arial"/>
        </w:rPr>
      </w:pPr>
      <w:r>
        <w:t>Auf GRDrs. 407/2023 wird Bezug genommen.</w:t>
      </w:r>
      <w:r w:rsidR="00BE2CC9">
        <w:t xml:space="preserve"> </w:t>
      </w:r>
      <w:r w:rsidR="00BE2CC9" w:rsidRPr="006535E4">
        <w:rPr>
          <w:rFonts w:cs="Arial"/>
        </w:rPr>
        <w:t>Die Verwaltung wurd</w:t>
      </w:r>
      <w:r w:rsidR="00BE2CC9" w:rsidRPr="005A6CEB">
        <w:rPr>
          <w:rFonts w:cs="Arial"/>
        </w:rPr>
        <w:t xml:space="preserve">e ermächtigt, aufgrund des vordringlichen und zwingenden dauerhaften Personalbedarfs ab sofort außerhalb des Stellenplans 4,4 Ingenieure für die Betreiberhaftung in EG 11 einzustellen. </w:t>
      </w:r>
    </w:p>
    <w:p w14:paraId="73809BDE" w14:textId="77777777" w:rsidR="004332CD" w:rsidRPr="00884D6C" w:rsidRDefault="004332CD" w:rsidP="00884D6C"/>
    <w:p w14:paraId="5622EA91" w14:textId="443A7026" w:rsidR="003D7B0B" w:rsidRPr="00165C0D" w:rsidRDefault="003D7B0B" w:rsidP="00165C0D">
      <w:pPr>
        <w:pStyle w:val="berschrift2"/>
      </w:pPr>
      <w:r w:rsidRPr="00165C0D">
        <w:t>3.2</w:t>
      </w:r>
      <w:r w:rsidRPr="00165C0D">
        <w:tab/>
        <w:t>Bisherige Aufgabenwahrnehmung</w:t>
      </w:r>
    </w:p>
    <w:p w14:paraId="148D97A4" w14:textId="77777777" w:rsidR="003D7B0B" w:rsidRDefault="003D7B0B" w:rsidP="00884D6C"/>
    <w:p w14:paraId="16FF35B0" w14:textId="7692996A" w:rsidR="00B61D4B" w:rsidRPr="00B61D4B" w:rsidRDefault="00B61D4B" w:rsidP="00B61D4B">
      <w:r w:rsidRPr="00B61D4B">
        <w:t xml:space="preserve">Im Jahr 2011 wurde durch die GRDrs 928/2011 eine Stelle für die Sicherstellung von Betreiberverantwortung und Arbeitssicherheit an Schul- und Sportanlagen geschaffen. Nachdem diese Stelle besetzt war, bestand die Hauptaufgabe darin, ein Konzept für die Umsetzung der gesetzlichen Vorgaben zu erstellen. Dieses Konzept zeigte, dass zur Sicherstellung von Arbeitssicherheit und Betreiberverantwortung beim Schulverwaltungsamt weitere Stellen </w:t>
      </w:r>
      <w:r w:rsidR="005A4F04">
        <w:t xml:space="preserve">dringend </w:t>
      </w:r>
      <w:r w:rsidRPr="00B61D4B">
        <w:t xml:space="preserve">benötigt werden. </w:t>
      </w:r>
    </w:p>
    <w:p w14:paraId="57BB62E0" w14:textId="77777777" w:rsidR="00B61D4B" w:rsidRPr="00B61D4B" w:rsidRDefault="00B61D4B" w:rsidP="00B61D4B"/>
    <w:p w14:paraId="4ACCFF38" w14:textId="427E6D18" w:rsidR="00B61D4B" w:rsidRPr="00B61D4B" w:rsidRDefault="00B61D4B" w:rsidP="00B61D4B">
      <w:r w:rsidRPr="00B61D4B">
        <w:t xml:space="preserve">2013 </w:t>
      </w:r>
      <w:r w:rsidR="005A4F04">
        <w:t xml:space="preserve">wurden </w:t>
      </w:r>
      <w:r w:rsidRPr="00B61D4B">
        <w:t>in der GRDrs</w:t>
      </w:r>
      <w:r w:rsidR="00E3170F">
        <w:t>.</w:t>
      </w:r>
      <w:r w:rsidRPr="00B61D4B">
        <w:t xml:space="preserve"> 583/2013 die benötigten Stellen beantragt. Dieser Antrag wurde abgelehnt und es wurde eine generelle Untersuchung in Zusammenarbeit mit </w:t>
      </w:r>
      <w:r w:rsidRPr="00B61D4B">
        <w:lastRenderedPageBreak/>
        <w:t xml:space="preserve">dem Haupt- und Personalamt gefordert, um den exakten Stellenbedarf zu ermitteln. Damit bis zur Beendigung der Organisationsuntersuchung des Schulhausbetreuungssystems ein Teil der gesetzlichen Pflichten erfüllt werden konnten, wurden im Vorgriff auf das Ergebnis der Organisationsuntersuchung </w:t>
      </w:r>
      <w:r w:rsidR="005A4F04">
        <w:t>drei</w:t>
      </w:r>
      <w:r w:rsidR="005A4F04" w:rsidRPr="00B61D4B">
        <w:t xml:space="preserve"> Stellen</w:t>
      </w:r>
      <w:r w:rsidRPr="00B61D4B">
        <w:t xml:space="preserve"> in der Innenverwaltung geschaffen.</w:t>
      </w:r>
    </w:p>
    <w:p w14:paraId="50BD3D74" w14:textId="77777777" w:rsidR="00B61D4B" w:rsidRPr="00B61D4B" w:rsidRDefault="00B61D4B" w:rsidP="00B61D4B">
      <w:pPr>
        <w:rPr>
          <w:rFonts w:eastAsiaTheme="minorHAnsi" w:cstheme="minorBidi"/>
          <w:lang w:eastAsia="en-US"/>
        </w:rPr>
      </w:pPr>
    </w:p>
    <w:p w14:paraId="06EB6416" w14:textId="486EAFD5" w:rsidR="00B61D4B" w:rsidRPr="00B61D4B" w:rsidRDefault="00B61D4B" w:rsidP="00B61D4B">
      <w:r w:rsidRPr="00B61D4B">
        <w:t xml:space="preserve">Die Organisationsuntersuchung wurde im November 2015 beendet und ergab einen zusätzlichen Stellenbedarf von 6,6 Stellen zur Sicherstellung von Arbeitssicherheit und Betreiberverantwortung in Form dezentraler „Vorgesetztenfunktionen“ </w:t>
      </w:r>
      <w:r w:rsidR="004C0D2F">
        <w:t xml:space="preserve">gegenüber </w:t>
      </w:r>
      <w:r w:rsidR="009E4AB4">
        <w:t>den Schulhausmeistern</w:t>
      </w:r>
      <w:r w:rsidR="005A4F04">
        <w:t xml:space="preserve"> und Schulhausmeister</w:t>
      </w:r>
      <w:r w:rsidR="004C0D2F">
        <w:t>innen</w:t>
      </w:r>
      <w:r w:rsidRPr="00B61D4B">
        <w:t xml:space="preserve">. Aus fiskalischen Gründen wurden diese Stellen vom Gemeinderat jedoch erst am 22.12.2016 im Rahmen des </w:t>
      </w:r>
      <w:r w:rsidR="00E3170F">
        <w:t>Vorgriffsv</w:t>
      </w:r>
      <w:r w:rsidRPr="00B61D4B">
        <w:t xml:space="preserve">erfahrens </w:t>
      </w:r>
      <w:r w:rsidR="009E4AB4" w:rsidRPr="00B61D4B">
        <w:t>geschaffen.</w:t>
      </w:r>
      <w:r w:rsidRPr="00B61D4B">
        <w:t xml:space="preserve"> </w:t>
      </w:r>
      <w:r w:rsidR="005A6CEB">
        <w:t>Bei diesen Stellenschaffungen war auch die Arbeitssicherheit enthalten, keine Kernaufgabe der Betreiberverantwortung.</w:t>
      </w:r>
    </w:p>
    <w:p w14:paraId="0F6B4469" w14:textId="77777777" w:rsidR="00B61D4B" w:rsidRPr="00B61D4B" w:rsidRDefault="00B61D4B" w:rsidP="00B61D4B"/>
    <w:p w14:paraId="031A74A0" w14:textId="0001F967" w:rsidR="00BE2CC9" w:rsidRPr="00D6244A" w:rsidRDefault="00BE2CC9" w:rsidP="00BE2CC9">
      <w:pPr>
        <w:rPr>
          <w:rFonts w:cs="Arial"/>
        </w:rPr>
      </w:pPr>
      <w:r w:rsidRPr="00D6244A">
        <w:rPr>
          <w:rFonts w:cs="Arial"/>
        </w:rPr>
        <w:t>Parallel zu</w:t>
      </w:r>
      <w:r>
        <w:rPr>
          <w:rFonts w:cs="Arial"/>
        </w:rPr>
        <w:t>r</w:t>
      </w:r>
      <w:r w:rsidRPr="00D6244A">
        <w:rPr>
          <w:rFonts w:cs="Arial"/>
        </w:rPr>
        <w:t xml:space="preserve"> Entwicklung</w:t>
      </w:r>
      <w:r w:rsidRPr="00BE2CC9">
        <w:rPr>
          <w:rFonts w:cs="Arial"/>
        </w:rPr>
        <w:t xml:space="preserve"> </w:t>
      </w:r>
      <w:r>
        <w:rPr>
          <w:rFonts w:cs="Arial"/>
        </w:rPr>
        <w:t xml:space="preserve">eines immer höheren </w:t>
      </w:r>
      <w:proofErr w:type="spellStart"/>
      <w:r w:rsidRPr="00D6244A">
        <w:rPr>
          <w:rFonts w:cs="Arial"/>
        </w:rPr>
        <w:t>Technologisierungs</w:t>
      </w:r>
      <w:proofErr w:type="spellEnd"/>
      <w:r w:rsidRPr="00D6244A">
        <w:rPr>
          <w:rFonts w:cs="Arial"/>
        </w:rPr>
        <w:t xml:space="preserve">- und Ausstattungsgrades </w:t>
      </w:r>
      <w:r w:rsidR="00E3170F">
        <w:rPr>
          <w:rFonts w:cs="Arial"/>
        </w:rPr>
        <w:t>der Schul- und Schulsportanlagen</w:t>
      </w:r>
      <w:r w:rsidRPr="00D6244A">
        <w:rPr>
          <w:rFonts w:cs="Arial"/>
        </w:rPr>
        <w:t xml:space="preserve"> ist das Aufgabenspektrum im Bereich der Betreiberverantwortung im Schulbereich stark angestiegen und hat an Komplexität zugenommen. Neben der quantitativen Ausweitung aufgrund der Zunahme an Schulgebäuden durch Schulneubauten bzw. Schulerweiterungen und Belegungszeiten der Schul- und Schulsportanlagen haben auch qualitativ, aufgrund von gesetzlichen Vorgaben sowie politische</w:t>
      </w:r>
      <w:r>
        <w:rPr>
          <w:rFonts w:cs="Arial"/>
        </w:rPr>
        <w:t>n und pädagogischen</w:t>
      </w:r>
      <w:r w:rsidRPr="00D6244A">
        <w:rPr>
          <w:rFonts w:cs="Arial"/>
        </w:rPr>
        <w:t xml:space="preserve"> Entscheidungen, die Aufgaben und Pflichten der Betreiberverantwortung zugenommen.</w:t>
      </w:r>
    </w:p>
    <w:p w14:paraId="59F03690" w14:textId="77777777" w:rsidR="00BE2CC9" w:rsidRDefault="00BE2CC9" w:rsidP="004332CD">
      <w:pPr>
        <w:rPr>
          <w:rFonts w:cs="Arial"/>
        </w:rPr>
      </w:pPr>
    </w:p>
    <w:p w14:paraId="2D0352A7" w14:textId="338174A3" w:rsidR="0010746E" w:rsidRDefault="006535E4" w:rsidP="004332CD">
      <w:pPr>
        <w:rPr>
          <w:rFonts w:cs="Arial"/>
        </w:rPr>
      </w:pPr>
      <w:r>
        <w:t xml:space="preserve">Nach klarer Aufgabenabgrenzung </w:t>
      </w:r>
      <w:r w:rsidR="005A6CEB">
        <w:t xml:space="preserve">mit einer Fokussierung auf die Kernaufgaben im Bereich Betreiberverantwortung </w:t>
      </w:r>
      <w:bookmarkStart w:id="0" w:name="_GoBack"/>
      <w:bookmarkEnd w:id="0"/>
      <w:r>
        <w:rPr>
          <w:rFonts w:cs="Arial"/>
        </w:rPr>
        <w:t xml:space="preserve">hat sich gezeigt, dass </w:t>
      </w:r>
      <w:r w:rsidR="0010746E">
        <w:rPr>
          <w:rFonts w:cs="Arial"/>
        </w:rPr>
        <w:t xml:space="preserve">ein Delta von 4,4 </w:t>
      </w:r>
      <w:r>
        <w:rPr>
          <w:rFonts w:cs="Arial"/>
        </w:rPr>
        <w:t>Ingenieurss</w:t>
      </w:r>
      <w:r w:rsidR="0010746E">
        <w:rPr>
          <w:rFonts w:cs="Arial"/>
        </w:rPr>
        <w:t>tellen</w:t>
      </w:r>
      <w:r>
        <w:rPr>
          <w:rFonts w:cs="Arial"/>
        </w:rPr>
        <w:t xml:space="preserve"> in der Betreiberhaftung besteht.</w:t>
      </w:r>
    </w:p>
    <w:p w14:paraId="0DCB02F5" w14:textId="77777777" w:rsidR="004332CD" w:rsidRPr="0010746E" w:rsidRDefault="004332CD" w:rsidP="004332CD">
      <w:pPr>
        <w:rPr>
          <w:rFonts w:cs="Arial"/>
        </w:rPr>
      </w:pPr>
    </w:p>
    <w:p w14:paraId="5049D2E7" w14:textId="77777777" w:rsidR="003D7B0B" w:rsidRDefault="006E0575" w:rsidP="00884D6C">
      <w:pPr>
        <w:pStyle w:val="berschrift2"/>
      </w:pPr>
      <w:r>
        <w:t>3.3</w:t>
      </w:r>
      <w:r w:rsidR="003D7B0B">
        <w:tab/>
        <w:t>Auswirkungen bei Ablehnung der Stellenschaffungen</w:t>
      </w:r>
    </w:p>
    <w:p w14:paraId="3B2CCFEB" w14:textId="77777777" w:rsidR="003D7B0B" w:rsidRDefault="003D7B0B" w:rsidP="00884D6C"/>
    <w:p w14:paraId="413148B5" w14:textId="07E268EB" w:rsidR="00AA0D76" w:rsidRDefault="00AA0D76" w:rsidP="00AA0D76">
      <w:pPr>
        <w:rPr>
          <w:rFonts w:eastAsiaTheme="minorHAnsi" w:cs="Arial"/>
          <w:lang w:eastAsia="en-US"/>
        </w:rPr>
      </w:pPr>
      <w:r w:rsidRPr="00AA0D76">
        <w:rPr>
          <w:rFonts w:eastAsiaTheme="minorHAnsi" w:cs="Arial"/>
          <w:lang w:eastAsia="en-US"/>
        </w:rPr>
        <w:t>Die Landeshauptstadt Stuttgart als Betreiberin der Schul- und Schulsportanlagen muss den Betreiberpflichten nachkommen.</w:t>
      </w:r>
      <w:r w:rsidRPr="00AA0D76">
        <w:rPr>
          <w:rFonts w:eastAsiaTheme="minorHAnsi" w:cstheme="minorBidi"/>
          <w:lang w:eastAsia="en-US"/>
        </w:rPr>
        <w:t xml:space="preserve"> </w:t>
      </w:r>
      <w:r w:rsidRPr="00AA0D76">
        <w:rPr>
          <w:rFonts w:eastAsiaTheme="minorHAnsi" w:cs="Arial"/>
          <w:lang w:eastAsia="en-US"/>
        </w:rPr>
        <w:t>Um diese</w:t>
      </w:r>
      <w:r w:rsidR="00E3170F">
        <w:rPr>
          <w:rFonts w:eastAsiaTheme="minorHAnsi" w:cs="Arial"/>
          <w:lang w:eastAsia="en-US"/>
        </w:rPr>
        <w:t>n</w:t>
      </w:r>
      <w:r w:rsidRPr="00AA0D76">
        <w:rPr>
          <w:rFonts w:eastAsiaTheme="minorHAnsi" w:cs="Arial"/>
          <w:lang w:eastAsia="en-US"/>
        </w:rPr>
        <w:t xml:space="preserve"> Aufgabe </w:t>
      </w:r>
      <w:r w:rsidR="00BC55A7">
        <w:rPr>
          <w:rFonts w:eastAsiaTheme="minorHAnsi" w:cs="Arial"/>
          <w:lang w:eastAsia="en-US"/>
        </w:rPr>
        <w:t>nachzukommen</w:t>
      </w:r>
      <w:r w:rsidRPr="00AA0D76">
        <w:rPr>
          <w:rFonts w:eastAsiaTheme="minorHAnsi" w:cs="Arial"/>
          <w:lang w:eastAsia="en-US"/>
        </w:rPr>
        <w:t>, ist es notwendig, im Schulverwaltungsamt eine entsprechende Aufbau- und Ablauforganisation umzusetzen</w:t>
      </w:r>
      <w:r w:rsidR="006535E4">
        <w:rPr>
          <w:rFonts w:eastAsiaTheme="minorHAnsi" w:cs="Arial"/>
          <w:lang w:eastAsia="en-US"/>
        </w:rPr>
        <w:t xml:space="preserve"> und </w:t>
      </w:r>
      <w:r w:rsidR="006535E4">
        <w:rPr>
          <w:rFonts w:cs="Arial"/>
        </w:rPr>
        <w:t>die zur Aufgabenerledigung erforderliche Stellenausstattung sicherzustellen.</w:t>
      </w:r>
      <w:r w:rsidRPr="00AA0D76">
        <w:rPr>
          <w:rFonts w:eastAsiaTheme="minorHAnsi" w:cs="Arial"/>
          <w:lang w:eastAsia="en-US"/>
        </w:rPr>
        <w:t xml:space="preserve"> Dazu muss </w:t>
      </w:r>
      <w:r w:rsidR="00BC55A7">
        <w:rPr>
          <w:rFonts w:eastAsiaTheme="minorHAnsi" w:cs="Arial"/>
          <w:lang w:eastAsia="en-US"/>
        </w:rPr>
        <w:t xml:space="preserve">sich ein </w:t>
      </w:r>
      <w:r w:rsidRPr="00AA0D76">
        <w:rPr>
          <w:rFonts w:eastAsiaTheme="minorHAnsi" w:cs="Arial"/>
          <w:lang w:eastAsia="en-US"/>
        </w:rPr>
        <w:t xml:space="preserve">qualifiziertes Personal mit dem Aufgabenbereich und den nötigen Arbeitsschritten auseinandersetzen. Die Verletzungen bzw. Vernachlässigungen der gesetzlichen Verpflichtungen können sich im Schadensfall zu folgenreichen Personen-, Bau-, Umwelt- wie auch Imageschäden auswirken. Diese können bis hin zu Stilllegungen der baulichen und technischen Anlagen der Schul- und Sportanlagen führen und zudem empfindliche straf- und zivilrechtliche Rechtsfolgen nach sich ziehen. Im Bereich der Betreiberverantwortung ist das Haftungsrisiko als besonders hoch einzustufen. Eintretende Pflichtverletzungen haben in der Regel schwerwiegende Folgen. </w:t>
      </w:r>
    </w:p>
    <w:p w14:paraId="2FA9CAB7" w14:textId="77777777" w:rsidR="003D7B0B" w:rsidRDefault="00884D6C" w:rsidP="00884D6C">
      <w:pPr>
        <w:pStyle w:val="berschrift1"/>
      </w:pPr>
      <w:r>
        <w:t>4</w:t>
      </w:r>
      <w:r>
        <w:tab/>
      </w:r>
      <w:r w:rsidR="003D7B0B">
        <w:t>Stellenvermerke</w:t>
      </w:r>
    </w:p>
    <w:p w14:paraId="1FD28CD3" w14:textId="77777777" w:rsidR="003D7B0B" w:rsidRDefault="003D7B0B" w:rsidP="00884D6C"/>
    <w:p w14:paraId="6B7132EC" w14:textId="7A25F29B" w:rsidR="00DE362D" w:rsidRDefault="00972907" w:rsidP="00884D6C">
      <w:r>
        <w:t>keine</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71562" w14:textId="77777777" w:rsidR="00642AC8" w:rsidRDefault="00642AC8">
      <w:r>
        <w:separator/>
      </w:r>
    </w:p>
  </w:endnote>
  <w:endnote w:type="continuationSeparator" w:id="0">
    <w:p w14:paraId="6DE4BC41" w14:textId="77777777" w:rsidR="00642AC8" w:rsidRDefault="0064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AC9B9" w14:textId="77777777" w:rsidR="00642AC8" w:rsidRDefault="00642AC8">
      <w:r>
        <w:separator/>
      </w:r>
    </w:p>
  </w:footnote>
  <w:footnote w:type="continuationSeparator" w:id="0">
    <w:p w14:paraId="7DE926BA" w14:textId="77777777" w:rsidR="00642AC8" w:rsidRDefault="0064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D0205" w14:textId="529256E7" w:rsidR="00642AC8" w:rsidRDefault="00642AC8">
    <w:pPr>
      <w:framePr w:wrap="around" w:vAnchor="page" w:hAnchor="page" w:xAlign="center" w:y="710"/>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45524B">
      <w:rPr>
        <w:rStyle w:val="Seitenzahl"/>
        <w:noProof/>
      </w:rPr>
      <w:t>2</w:t>
    </w:r>
    <w:r>
      <w:rPr>
        <w:rStyle w:val="Seitenzahl"/>
      </w:rPr>
      <w:fldChar w:fldCharType="end"/>
    </w:r>
    <w:r>
      <w:rPr>
        <w:rStyle w:val="Seitenzahl"/>
      </w:rPr>
      <w:t xml:space="preserve"> -</w:t>
    </w:r>
  </w:p>
  <w:p w14:paraId="77335C58" w14:textId="77777777" w:rsidR="00642AC8" w:rsidRDefault="00642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1F44289B"/>
    <w:multiLevelType w:val="hybridMultilevel"/>
    <w:tmpl w:val="0C3471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73026B18"/>
    <w:multiLevelType w:val="hybridMultilevel"/>
    <w:tmpl w:val="669A7E8C"/>
    <w:lvl w:ilvl="0" w:tplc="F022C98A">
      <w:numFmt w:val="bullet"/>
      <w:lvlText w:val=""/>
      <w:lvlJc w:val="left"/>
      <w:pPr>
        <w:ind w:left="720" w:hanging="360"/>
      </w:pPr>
      <w:rPr>
        <w:rFonts w:ascii="Symbol" w:eastAsia="Times New Roman" w:hAnsi="Symbo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4B"/>
    <w:rsid w:val="00026253"/>
    <w:rsid w:val="000506BA"/>
    <w:rsid w:val="00055758"/>
    <w:rsid w:val="00061F0B"/>
    <w:rsid w:val="000A1146"/>
    <w:rsid w:val="000A4BEB"/>
    <w:rsid w:val="001034AF"/>
    <w:rsid w:val="0010746E"/>
    <w:rsid w:val="0011112B"/>
    <w:rsid w:val="0014415D"/>
    <w:rsid w:val="00151488"/>
    <w:rsid w:val="00163034"/>
    <w:rsid w:val="00164678"/>
    <w:rsid w:val="00165C0D"/>
    <w:rsid w:val="00181857"/>
    <w:rsid w:val="00184EDC"/>
    <w:rsid w:val="00194770"/>
    <w:rsid w:val="001A5F9B"/>
    <w:rsid w:val="001C74FD"/>
    <w:rsid w:val="001D70B5"/>
    <w:rsid w:val="001F7237"/>
    <w:rsid w:val="00270089"/>
    <w:rsid w:val="002755C1"/>
    <w:rsid w:val="002924CB"/>
    <w:rsid w:val="002A20D1"/>
    <w:rsid w:val="002A4DE3"/>
    <w:rsid w:val="002A56C4"/>
    <w:rsid w:val="002B5955"/>
    <w:rsid w:val="002C1C8B"/>
    <w:rsid w:val="0030686C"/>
    <w:rsid w:val="00311433"/>
    <w:rsid w:val="00331E27"/>
    <w:rsid w:val="00380937"/>
    <w:rsid w:val="00397717"/>
    <w:rsid w:val="003D762E"/>
    <w:rsid w:val="003D7B0B"/>
    <w:rsid w:val="003E0F4B"/>
    <w:rsid w:val="003F0FAA"/>
    <w:rsid w:val="00420F92"/>
    <w:rsid w:val="004332CD"/>
    <w:rsid w:val="0045524B"/>
    <w:rsid w:val="00470135"/>
    <w:rsid w:val="004746D3"/>
    <w:rsid w:val="0047606A"/>
    <w:rsid w:val="004908B5"/>
    <w:rsid w:val="0049121B"/>
    <w:rsid w:val="004A0314"/>
    <w:rsid w:val="004A1688"/>
    <w:rsid w:val="004B6796"/>
    <w:rsid w:val="004C0D2F"/>
    <w:rsid w:val="005A0A9D"/>
    <w:rsid w:val="005A4F04"/>
    <w:rsid w:val="005A56AA"/>
    <w:rsid w:val="005A6CEB"/>
    <w:rsid w:val="005E19C6"/>
    <w:rsid w:val="005F5B3D"/>
    <w:rsid w:val="00601D08"/>
    <w:rsid w:val="00606F80"/>
    <w:rsid w:val="00622CC7"/>
    <w:rsid w:val="00642AC8"/>
    <w:rsid w:val="006535E4"/>
    <w:rsid w:val="006537FF"/>
    <w:rsid w:val="00662B62"/>
    <w:rsid w:val="006A406B"/>
    <w:rsid w:val="006B6D50"/>
    <w:rsid w:val="006E0575"/>
    <w:rsid w:val="006E76B3"/>
    <w:rsid w:val="00704FD7"/>
    <w:rsid w:val="0072799A"/>
    <w:rsid w:val="00754659"/>
    <w:rsid w:val="00762355"/>
    <w:rsid w:val="007B68DF"/>
    <w:rsid w:val="007E3B79"/>
    <w:rsid w:val="007F0233"/>
    <w:rsid w:val="00802D72"/>
    <w:rsid w:val="008066EE"/>
    <w:rsid w:val="00817BB6"/>
    <w:rsid w:val="008550BC"/>
    <w:rsid w:val="00884D6C"/>
    <w:rsid w:val="008971BF"/>
    <w:rsid w:val="009060D1"/>
    <w:rsid w:val="00920F00"/>
    <w:rsid w:val="009373F6"/>
    <w:rsid w:val="00946276"/>
    <w:rsid w:val="0096038F"/>
    <w:rsid w:val="0096550A"/>
    <w:rsid w:val="00972907"/>
    <w:rsid w:val="00976588"/>
    <w:rsid w:val="009E4AB4"/>
    <w:rsid w:val="00A22443"/>
    <w:rsid w:val="00A27CA7"/>
    <w:rsid w:val="00A44B2D"/>
    <w:rsid w:val="00A45B30"/>
    <w:rsid w:val="00A71D0A"/>
    <w:rsid w:val="00A77F1E"/>
    <w:rsid w:val="00A847C4"/>
    <w:rsid w:val="00A96B7C"/>
    <w:rsid w:val="00AA0D76"/>
    <w:rsid w:val="00AB389D"/>
    <w:rsid w:val="00AC56F1"/>
    <w:rsid w:val="00AD33E2"/>
    <w:rsid w:val="00AE7B02"/>
    <w:rsid w:val="00AF0DEA"/>
    <w:rsid w:val="00AF25E0"/>
    <w:rsid w:val="00B04290"/>
    <w:rsid w:val="00B179DB"/>
    <w:rsid w:val="00B31002"/>
    <w:rsid w:val="00B61D4B"/>
    <w:rsid w:val="00B80DEF"/>
    <w:rsid w:val="00B86BB5"/>
    <w:rsid w:val="00B91903"/>
    <w:rsid w:val="00BC4669"/>
    <w:rsid w:val="00BC55A7"/>
    <w:rsid w:val="00BE2CC9"/>
    <w:rsid w:val="00BF3C2C"/>
    <w:rsid w:val="00C15D6A"/>
    <w:rsid w:val="00C16EF1"/>
    <w:rsid w:val="00C448D3"/>
    <w:rsid w:val="00C6740B"/>
    <w:rsid w:val="00CD6CE2"/>
    <w:rsid w:val="00CF4AD9"/>
    <w:rsid w:val="00CF62E5"/>
    <w:rsid w:val="00D022C3"/>
    <w:rsid w:val="00D172E1"/>
    <w:rsid w:val="00D4180B"/>
    <w:rsid w:val="00D66D3A"/>
    <w:rsid w:val="00D743D4"/>
    <w:rsid w:val="00D768D7"/>
    <w:rsid w:val="00D928AB"/>
    <w:rsid w:val="00DB3D6C"/>
    <w:rsid w:val="00DE362D"/>
    <w:rsid w:val="00E01461"/>
    <w:rsid w:val="00E014B6"/>
    <w:rsid w:val="00E0776C"/>
    <w:rsid w:val="00E1162F"/>
    <w:rsid w:val="00E11D5F"/>
    <w:rsid w:val="00E16491"/>
    <w:rsid w:val="00E20E1F"/>
    <w:rsid w:val="00E3170F"/>
    <w:rsid w:val="00E42F96"/>
    <w:rsid w:val="00E433E4"/>
    <w:rsid w:val="00E7118F"/>
    <w:rsid w:val="00E96B46"/>
    <w:rsid w:val="00F27657"/>
    <w:rsid w:val="00F342DC"/>
    <w:rsid w:val="00F36AD4"/>
    <w:rsid w:val="00F52774"/>
    <w:rsid w:val="00F53C20"/>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A340B"/>
  <w15:docId w15:val="{69329DBF-E757-4C47-B7A7-A74A2F32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character" w:styleId="Kommentarzeichen">
    <w:name w:val="annotation reference"/>
    <w:basedOn w:val="Absatz-Standardschriftart"/>
    <w:semiHidden/>
    <w:unhideWhenUsed/>
    <w:rsid w:val="00601D08"/>
    <w:rPr>
      <w:sz w:val="16"/>
      <w:szCs w:val="16"/>
    </w:rPr>
  </w:style>
  <w:style w:type="paragraph" w:styleId="Kommentartext">
    <w:name w:val="annotation text"/>
    <w:basedOn w:val="Standard"/>
    <w:link w:val="KommentartextZchn"/>
    <w:semiHidden/>
    <w:unhideWhenUsed/>
    <w:rsid w:val="00601D08"/>
    <w:rPr>
      <w:sz w:val="20"/>
      <w:szCs w:val="20"/>
    </w:rPr>
  </w:style>
  <w:style w:type="character" w:customStyle="1" w:styleId="KommentartextZchn">
    <w:name w:val="Kommentartext Zchn"/>
    <w:basedOn w:val="Absatz-Standardschriftart"/>
    <w:link w:val="Kommentartext"/>
    <w:semiHidden/>
    <w:rsid w:val="00601D08"/>
    <w:rPr>
      <w:sz w:val="20"/>
      <w:szCs w:val="20"/>
    </w:rPr>
  </w:style>
  <w:style w:type="paragraph" w:styleId="Sprechblasentext">
    <w:name w:val="Balloon Text"/>
    <w:basedOn w:val="Standard"/>
    <w:link w:val="SprechblasentextZchn"/>
    <w:semiHidden/>
    <w:unhideWhenUsed/>
    <w:rsid w:val="00601D08"/>
    <w:rPr>
      <w:rFonts w:ascii="Segoe UI" w:hAnsi="Segoe UI" w:cs="Segoe UI"/>
      <w:sz w:val="18"/>
      <w:szCs w:val="18"/>
    </w:rPr>
  </w:style>
  <w:style w:type="character" w:customStyle="1" w:styleId="SprechblasentextZchn">
    <w:name w:val="Sprechblasentext Zchn"/>
    <w:basedOn w:val="Absatz-Standardschriftart"/>
    <w:link w:val="Sprechblasentext"/>
    <w:semiHidden/>
    <w:rsid w:val="00601D08"/>
    <w:rPr>
      <w:rFonts w:ascii="Segoe UI" w:hAnsi="Segoe UI" w:cs="Segoe UI"/>
      <w:sz w:val="18"/>
      <w:szCs w:val="18"/>
    </w:rPr>
  </w:style>
  <w:style w:type="paragraph" w:styleId="Kommentarthema">
    <w:name w:val="annotation subject"/>
    <w:basedOn w:val="Kommentartext"/>
    <w:next w:val="Kommentartext"/>
    <w:link w:val="KommentarthemaZchn"/>
    <w:semiHidden/>
    <w:unhideWhenUsed/>
    <w:rsid w:val="00AC56F1"/>
    <w:rPr>
      <w:b/>
      <w:bCs/>
    </w:rPr>
  </w:style>
  <w:style w:type="character" w:customStyle="1" w:styleId="KommentarthemaZchn">
    <w:name w:val="Kommentarthema Zchn"/>
    <w:basedOn w:val="KommentartextZchn"/>
    <w:link w:val="Kommentarthema"/>
    <w:semiHidden/>
    <w:rsid w:val="00AC56F1"/>
    <w:rPr>
      <w:b/>
      <w:bCs/>
      <w:sz w:val="20"/>
      <w:szCs w:val="20"/>
    </w:rPr>
  </w:style>
  <w:style w:type="paragraph" w:styleId="Beschriftung">
    <w:name w:val="caption"/>
    <w:basedOn w:val="Standard"/>
    <w:next w:val="Standard"/>
    <w:unhideWhenUsed/>
    <w:qFormat/>
    <w:rsid w:val="00662B62"/>
    <w:pPr>
      <w:spacing w:after="200"/>
    </w:pPr>
    <w:rPr>
      <w:i/>
      <w:iCs/>
      <w:color w:val="1F497D" w:themeColor="text2"/>
      <w:sz w:val="18"/>
      <w:szCs w:val="18"/>
    </w:rPr>
  </w:style>
  <w:style w:type="paragraph" w:styleId="berarbeitung">
    <w:name w:val="Revision"/>
    <w:hidden/>
    <w:uiPriority w:val="99"/>
    <w:semiHidden/>
    <w:rsid w:val="00662B62"/>
  </w:style>
  <w:style w:type="paragraph" w:styleId="Listenabsatz">
    <w:name w:val="List Paragraph"/>
    <w:basedOn w:val="Standard"/>
    <w:uiPriority w:val="34"/>
    <w:qFormat/>
    <w:rsid w:val="00E96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3402">
      <w:bodyDiv w:val="1"/>
      <w:marLeft w:val="0"/>
      <w:marRight w:val="0"/>
      <w:marTop w:val="0"/>
      <w:marBottom w:val="0"/>
      <w:divBdr>
        <w:top w:val="none" w:sz="0" w:space="0" w:color="auto"/>
        <w:left w:val="none" w:sz="0" w:space="0" w:color="auto"/>
        <w:bottom w:val="none" w:sz="0" w:space="0" w:color="auto"/>
        <w:right w:val="none" w:sz="0" w:space="0" w:color="auto"/>
      </w:divBdr>
    </w:div>
    <w:div w:id="847907379">
      <w:bodyDiv w:val="1"/>
      <w:marLeft w:val="0"/>
      <w:marRight w:val="0"/>
      <w:marTop w:val="0"/>
      <w:marBottom w:val="0"/>
      <w:divBdr>
        <w:top w:val="none" w:sz="0" w:space="0" w:color="auto"/>
        <w:left w:val="none" w:sz="0" w:space="0" w:color="auto"/>
        <w:bottom w:val="none" w:sz="0" w:space="0" w:color="auto"/>
        <w:right w:val="none" w:sz="0" w:space="0" w:color="auto"/>
      </w:divBdr>
    </w:div>
    <w:div w:id="940992811">
      <w:bodyDiv w:val="1"/>
      <w:marLeft w:val="0"/>
      <w:marRight w:val="0"/>
      <w:marTop w:val="0"/>
      <w:marBottom w:val="0"/>
      <w:divBdr>
        <w:top w:val="none" w:sz="0" w:space="0" w:color="auto"/>
        <w:left w:val="none" w:sz="0" w:space="0" w:color="auto"/>
        <w:bottom w:val="none" w:sz="0" w:space="0" w:color="auto"/>
        <w:right w:val="none" w:sz="0" w:space="0" w:color="auto"/>
      </w:divBdr>
    </w:div>
    <w:div w:id="1259025010">
      <w:bodyDiv w:val="1"/>
      <w:marLeft w:val="0"/>
      <w:marRight w:val="0"/>
      <w:marTop w:val="0"/>
      <w:marBottom w:val="0"/>
      <w:divBdr>
        <w:top w:val="none" w:sz="0" w:space="0" w:color="auto"/>
        <w:left w:val="none" w:sz="0" w:space="0" w:color="auto"/>
        <w:bottom w:val="none" w:sz="0" w:space="0" w:color="auto"/>
        <w:right w:val="none" w:sz="0" w:space="0" w:color="auto"/>
      </w:divBdr>
    </w:div>
    <w:div w:id="1312707415">
      <w:bodyDiv w:val="1"/>
      <w:marLeft w:val="0"/>
      <w:marRight w:val="0"/>
      <w:marTop w:val="0"/>
      <w:marBottom w:val="0"/>
      <w:divBdr>
        <w:top w:val="none" w:sz="0" w:space="0" w:color="auto"/>
        <w:left w:val="none" w:sz="0" w:space="0" w:color="auto"/>
        <w:bottom w:val="none" w:sz="0" w:space="0" w:color="auto"/>
        <w:right w:val="none" w:sz="0" w:space="0" w:color="auto"/>
      </w:divBdr>
    </w:div>
    <w:div w:id="13479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Braß, Andrea</dc:creator>
  <cp:lastModifiedBy>Baumann, Gerhard</cp:lastModifiedBy>
  <cp:revision>6</cp:revision>
  <cp:lastPrinted>2023-10-19T15:06:00Z</cp:lastPrinted>
  <dcterms:created xsi:type="dcterms:W3CDTF">2023-10-03T13:36:00Z</dcterms:created>
  <dcterms:modified xsi:type="dcterms:W3CDTF">2023-10-19T15:07:00Z</dcterms:modified>
</cp:coreProperties>
</file>