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11253">
        <w:rPr>
          <w:szCs w:val="24"/>
        </w:rPr>
        <w:t>15</w:t>
      </w:r>
      <w:r w:rsidRPr="006E0575">
        <w:rPr>
          <w:szCs w:val="24"/>
        </w:rPr>
        <w:t xml:space="preserve"> zur </w:t>
      </w:r>
      <w:proofErr w:type="spellStart"/>
      <w:r w:rsidRPr="006E0575">
        <w:rPr>
          <w:szCs w:val="24"/>
        </w:rPr>
        <w:t>GRDrs</w:t>
      </w:r>
      <w:proofErr w:type="spellEnd"/>
      <w:r w:rsidRPr="006E0575">
        <w:rPr>
          <w:szCs w:val="24"/>
        </w:rPr>
        <w:t xml:space="preserve"> </w:t>
      </w:r>
      <w:r w:rsidR="00346502">
        <w:rPr>
          <w:szCs w:val="24"/>
        </w:rPr>
        <w:t>928</w:t>
      </w:r>
      <w:r w:rsidR="005F5B3D">
        <w:rPr>
          <w:szCs w:val="24"/>
        </w:rPr>
        <w:t>/201</w:t>
      </w:r>
      <w:r w:rsidR="00B10E22">
        <w:rPr>
          <w:szCs w:val="24"/>
        </w:rPr>
        <w:t>8</w:t>
      </w:r>
    </w:p>
    <w:p w:rsidR="00FC1BCB" w:rsidRDefault="00FC1BCB" w:rsidP="006E0575"/>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875"/>
        <w:gridCol w:w="1984"/>
        <w:gridCol w:w="709"/>
        <w:gridCol w:w="1025"/>
        <w:gridCol w:w="1417"/>
      </w:tblGrid>
      <w:tr w:rsidR="005F5B3D" w:rsidRPr="006E0575" w:rsidTr="00C5238B">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875"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8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02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E160D2" w:rsidTr="00C5238B">
        <w:tc>
          <w:tcPr>
            <w:tcW w:w="1696" w:type="dxa"/>
          </w:tcPr>
          <w:p w:rsidR="00AD48F5" w:rsidRPr="00E160D2" w:rsidRDefault="00AD48F5" w:rsidP="00AD48F5">
            <w:pPr>
              <w:jc w:val="right"/>
              <w:rPr>
                <w:rFonts w:cs="Arial"/>
                <w:sz w:val="18"/>
                <w:szCs w:val="18"/>
              </w:rPr>
            </w:pPr>
          </w:p>
          <w:p w:rsidR="00AD48F5" w:rsidRPr="00E160D2" w:rsidRDefault="00FE5112" w:rsidP="00AD48F5">
            <w:pPr>
              <w:rPr>
                <w:rFonts w:cs="Arial"/>
                <w:sz w:val="18"/>
                <w:szCs w:val="18"/>
              </w:rPr>
            </w:pPr>
            <w:r w:rsidRPr="00E160D2">
              <w:rPr>
                <w:rFonts w:cs="Arial"/>
                <w:sz w:val="18"/>
                <w:szCs w:val="18"/>
              </w:rPr>
              <w:t>500</w:t>
            </w:r>
            <w:r w:rsidR="00C5238B" w:rsidRPr="00E160D2">
              <w:rPr>
                <w:rFonts w:cs="Arial"/>
                <w:sz w:val="18"/>
                <w:szCs w:val="18"/>
              </w:rPr>
              <w:t xml:space="preserve"> </w:t>
            </w:r>
            <w:r w:rsidR="00F602BE" w:rsidRPr="00E160D2">
              <w:rPr>
                <w:rFonts w:cs="Arial"/>
                <w:sz w:val="18"/>
                <w:szCs w:val="18"/>
              </w:rPr>
              <w:t>0102 XXX</w:t>
            </w:r>
          </w:p>
          <w:p w:rsidR="00977100" w:rsidRPr="00E160D2" w:rsidRDefault="00977100" w:rsidP="00AD48F5">
            <w:pPr>
              <w:rPr>
                <w:rFonts w:cs="Arial"/>
                <w:sz w:val="18"/>
                <w:szCs w:val="18"/>
              </w:rPr>
            </w:pPr>
          </w:p>
          <w:p w:rsidR="00AD48F5" w:rsidRPr="00E160D2" w:rsidRDefault="00F602BE" w:rsidP="002B372F">
            <w:pPr>
              <w:rPr>
                <w:rFonts w:cs="Arial"/>
                <w:sz w:val="18"/>
                <w:szCs w:val="18"/>
              </w:rPr>
            </w:pPr>
            <w:r w:rsidRPr="00E160D2">
              <w:rPr>
                <w:rFonts w:cs="Arial"/>
                <w:sz w:val="18"/>
                <w:szCs w:val="18"/>
              </w:rPr>
              <w:t>50101700</w:t>
            </w:r>
          </w:p>
        </w:tc>
        <w:tc>
          <w:tcPr>
            <w:tcW w:w="1819" w:type="dxa"/>
          </w:tcPr>
          <w:p w:rsidR="00AD48F5" w:rsidRPr="00611253" w:rsidRDefault="00AD48F5" w:rsidP="00AD48F5">
            <w:pPr>
              <w:rPr>
                <w:rFonts w:cs="Arial"/>
                <w:sz w:val="18"/>
                <w:szCs w:val="18"/>
              </w:rPr>
            </w:pPr>
          </w:p>
          <w:p w:rsidR="00AD48F5" w:rsidRPr="00E160D2" w:rsidRDefault="00FE5112" w:rsidP="00AD48F5">
            <w:pPr>
              <w:rPr>
                <w:rFonts w:cs="Arial"/>
                <w:sz w:val="18"/>
                <w:szCs w:val="18"/>
              </w:rPr>
            </w:pPr>
            <w:r w:rsidRPr="00E160D2">
              <w:rPr>
                <w:rFonts w:cs="Arial"/>
                <w:sz w:val="18"/>
                <w:szCs w:val="18"/>
              </w:rPr>
              <w:t>Sozialamt</w:t>
            </w:r>
          </w:p>
          <w:p w:rsidR="00AD48F5" w:rsidRPr="00E160D2" w:rsidRDefault="00AD48F5" w:rsidP="00AD48F5">
            <w:pPr>
              <w:rPr>
                <w:rFonts w:cs="Arial"/>
                <w:sz w:val="18"/>
                <w:szCs w:val="18"/>
              </w:rPr>
            </w:pPr>
          </w:p>
          <w:p w:rsidR="00AD48F5" w:rsidRPr="00E160D2" w:rsidRDefault="00F602BE">
            <w:pPr>
              <w:rPr>
                <w:rFonts w:cs="Arial"/>
                <w:sz w:val="18"/>
                <w:szCs w:val="18"/>
              </w:rPr>
            </w:pPr>
            <w:r w:rsidRPr="00E160D2">
              <w:rPr>
                <w:rFonts w:cs="Arial"/>
                <w:sz w:val="18"/>
                <w:szCs w:val="18"/>
              </w:rPr>
              <w:t>Verwaltung</w:t>
            </w:r>
          </w:p>
        </w:tc>
        <w:tc>
          <w:tcPr>
            <w:tcW w:w="875" w:type="dxa"/>
          </w:tcPr>
          <w:p w:rsidR="00AD48F5" w:rsidRPr="00611253" w:rsidRDefault="00AD48F5" w:rsidP="00AD48F5">
            <w:pPr>
              <w:rPr>
                <w:rFonts w:cs="Arial"/>
                <w:sz w:val="18"/>
                <w:szCs w:val="18"/>
              </w:rPr>
            </w:pPr>
          </w:p>
          <w:p w:rsidR="00AD48F5" w:rsidRPr="00E160D2" w:rsidRDefault="000A7A3F" w:rsidP="00AD48F5">
            <w:pPr>
              <w:rPr>
                <w:rFonts w:cs="Arial"/>
                <w:sz w:val="18"/>
                <w:szCs w:val="18"/>
              </w:rPr>
            </w:pPr>
            <w:r w:rsidRPr="00E160D2">
              <w:rPr>
                <w:rFonts w:cs="Arial"/>
                <w:sz w:val="18"/>
                <w:szCs w:val="18"/>
              </w:rPr>
              <w:t>A 11</w:t>
            </w:r>
          </w:p>
        </w:tc>
        <w:tc>
          <w:tcPr>
            <w:tcW w:w="1984" w:type="dxa"/>
          </w:tcPr>
          <w:p w:rsidR="00AD48F5" w:rsidRPr="00E160D2" w:rsidRDefault="00AD48F5" w:rsidP="00AD48F5">
            <w:pPr>
              <w:rPr>
                <w:rFonts w:cs="Arial"/>
                <w:sz w:val="18"/>
                <w:szCs w:val="18"/>
              </w:rPr>
            </w:pPr>
          </w:p>
          <w:p w:rsidR="00AD48F5" w:rsidRPr="00E160D2" w:rsidRDefault="00C5238B" w:rsidP="00AD48F5">
            <w:pPr>
              <w:rPr>
                <w:rFonts w:cs="Arial"/>
                <w:sz w:val="18"/>
                <w:szCs w:val="18"/>
              </w:rPr>
            </w:pPr>
            <w:r w:rsidRPr="00E160D2">
              <w:rPr>
                <w:rFonts w:cs="Arial"/>
                <w:sz w:val="18"/>
                <w:szCs w:val="18"/>
              </w:rPr>
              <w:t>Umsetzung BTHG</w:t>
            </w:r>
          </w:p>
          <w:p w:rsidR="00C5238B" w:rsidRPr="00E160D2" w:rsidRDefault="00C5238B" w:rsidP="00AD48F5">
            <w:pPr>
              <w:rPr>
                <w:rFonts w:cs="Arial"/>
                <w:sz w:val="18"/>
                <w:szCs w:val="18"/>
              </w:rPr>
            </w:pPr>
          </w:p>
          <w:p w:rsidR="00321CAF" w:rsidRPr="00E160D2" w:rsidRDefault="00321CAF" w:rsidP="00AD48F5">
            <w:pPr>
              <w:rPr>
                <w:rFonts w:cs="Arial"/>
                <w:sz w:val="18"/>
                <w:szCs w:val="18"/>
              </w:rPr>
            </w:pPr>
            <w:r w:rsidRPr="00E160D2">
              <w:rPr>
                <w:rFonts w:cs="Arial"/>
                <w:sz w:val="18"/>
                <w:szCs w:val="18"/>
              </w:rPr>
              <w:t>EDV-Betreuung</w:t>
            </w:r>
          </w:p>
        </w:tc>
        <w:tc>
          <w:tcPr>
            <w:tcW w:w="709" w:type="dxa"/>
          </w:tcPr>
          <w:p w:rsidR="00AD48F5" w:rsidRPr="00E160D2" w:rsidRDefault="00AD48F5" w:rsidP="00AD48F5">
            <w:pPr>
              <w:autoSpaceDE w:val="0"/>
              <w:autoSpaceDN w:val="0"/>
              <w:adjustRightInd w:val="0"/>
              <w:rPr>
                <w:rFonts w:cs="Arial"/>
                <w:sz w:val="18"/>
                <w:szCs w:val="18"/>
              </w:rPr>
            </w:pPr>
          </w:p>
          <w:p w:rsidR="00AD48F5" w:rsidRPr="00E160D2" w:rsidRDefault="00E160D2" w:rsidP="00E160D2">
            <w:pPr>
              <w:autoSpaceDE w:val="0"/>
              <w:autoSpaceDN w:val="0"/>
              <w:adjustRightInd w:val="0"/>
              <w:rPr>
                <w:rFonts w:cs="Arial"/>
                <w:sz w:val="18"/>
                <w:szCs w:val="18"/>
              </w:rPr>
            </w:pPr>
            <w:r>
              <w:rPr>
                <w:rFonts w:cs="Arial"/>
                <w:sz w:val="18"/>
                <w:szCs w:val="18"/>
              </w:rPr>
              <w:t>2</w:t>
            </w:r>
            <w:r w:rsidR="000A7A3F" w:rsidRPr="00E160D2">
              <w:rPr>
                <w:rFonts w:cs="Arial"/>
                <w:sz w:val="18"/>
                <w:szCs w:val="18"/>
              </w:rPr>
              <w:t>,</w:t>
            </w:r>
            <w:r>
              <w:rPr>
                <w:rFonts w:cs="Arial"/>
                <w:sz w:val="18"/>
                <w:szCs w:val="18"/>
              </w:rPr>
              <w:t>0</w:t>
            </w:r>
            <w:r w:rsidR="00AD48F5" w:rsidRPr="00E160D2">
              <w:rPr>
                <w:rFonts w:cs="Arial"/>
                <w:sz w:val="18"/>
                <w:szCs w:val="18"/>
              </w:rPr>
              <w:t>0</w:t>
            </w:r>
          </w:p>
        </w:tc>
        <w:tc>
          <w:tcPr>
            <w:tcW w:w="1025" w:type="dxa"/>
          </w:tcPr>
          <w:p w:rsidR="00AD48F5" w:rsidRPr="00E160D2" w:rsidRDefault="00AD48F5" w:rsidP="00AD48F5">
            <w:pPr>
              <w:autoSpaceDE w:val="0"/>
              <w:autoSpaceDN w:val="0"/>
              <w:adjustRightInd w:val="0"/>
              <w:rPr>
                <w:rFonts w:cs="Arial"/>
                <w:sz w:val="18"/>
                <w:szCs w:val="18"/>
              </w:rPr>
            </w:pPr>
          </w:p>
          <w:p w:rsidR="00AD48F5" w:rsidRPr="00E160D2" w:rsidRDefault="000A7A3F" w:rsidP="00346502">
            <w:pPr>
              <w:autoSpaceDE w:val="0"/>
              <w:autoSpaceDN w:val="0"/>
              <w:adjustRightInd w:val="0"/>
              <w:rPr>
                <w:sz w:val="18"/>
                <w:szCs w:val="18"/>
              </w:rPr>
            </w:pPr>
            <w:r w:rsidRPr="00E160D2">
              <w:rPr>
                <w:sz w:val="18"/>
                <w:szCs w:val="18"/>
              </w:rPr>
              <w:t>BP</w:t>
            </w:r>
          </w:p>
        </w:tc>
        <w:tc>
          <w:tcPr>
            <w:tcW w:w="1417" w:type="dxa"/>
          </w:tcPr>
          <w:p w:rsidR="00AD48F5" w:rsidRPr="00E160D2" w:rsidRDefault="00AD48F5" w:rsidP="004047CC">
            <w:pPr>
              <w:jc w:val="center"/>
              <w:rPr>
                <w:rFonts w:cs="Arial"/>
                <w:sz w:val="18"/>
                <w:szCs w:val="18"/>
              </w:rPr>
            </w:pPr>
          </w:p>
          <w:p w:rsidR="00FB0D10" w:rsidRPr="00E160D2" w:rsidRDefault="00611253" w:rsidP="004047CC">
            <w:pPr>
              <w:jc w:val="center"/>
              <w:rPr>
                <w:rFonts w:cs="Arial"/>
                <w:sz w:val="18"/>
                <w:szCs w:val="18"/>
              </w:rPr>
            </w:pPr>
            <w:r>
              <w:rPr>
                <w:rFonts w:cs="Arial"/>
                <w:sz w:val="18"/>
                <w:szCs w:val="18"/>
              </w:rPr>
              <w:t>(183.600)</w:t>
            </w:r>
          </w:p>
          <w:p w:rsidR="00346502" w:rsidRPr="00E160D2" w:rsidRDefault="00611253" w:rsidP="004047CC">
            <w:pPr>
              <w:jc w:val="center"/>
              <w:rPr>
                <w:rFonts w:cs="Arial"/>
                <w:sz w:val="18"/>
                <w:szCs w:val="18"/>
              </w:rPr>
            </w:pPr>
            <w:r>
              <w:rPr>
                <w:rFonts w:cs="Arial"/>
                <w:sz w:val="18"/>
                <w:szCs w:val="18"/>
              </w:rPr>
              <w:t>hh-neutral</w:t>
            </w:r>
          </w:p>
        </w:tc>
      </w:tr>
    </w:tbl>
    <w:p w:rsidR="00FB0D10" w:rsidRPr="00E160D2" w:rsidRDefault="00FB0D10" w:rsidP="00FB0D10">
      <w:pPr>
        <w:rPr>
          <w:b/>
          <w:sz w:val="16"/>
          <w:szCs w:val="16"/>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von </w:t>
      </w:r>
      <w:r w:rsidR="00E160D2">
        <w:rPr>
          <w:szCs w:val="24"/>
        </w:rPr>
        <w:t>2,0</w:t>
      </w:r>
      <w:r w:rsidR="006B3EC8" w:rsidRPr="00C5238B">
        <w:rPr>
          <w:szCs w:val="24"/>
        </w:rPr>
        <w:t>0</w:t>
      </w:r>
      <w:r w:rsidRPr="00C5238B">
        <w:rPr>
          <w:szCs w:val="24"/>
        </w:rPr>
        <w:t xml:space="preserve"> Stelle</w:t>
      </w:r>
      <w:r w:rsidR="00E160D2">
        <w:rPr>
          <w:szCs w:val="24"/>
        </w:rPr>
        <w:t>n</w:t>
      </w:r>
      <w:r w:rsidRPr="00C5238B">
        <w:rPr>
          <w:szCs w:val="24"/>
        </w:rPr>
        <w:t xml:space="preserv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0A7A3F">
        <w:rPr>
          <w:rFonts w:eastAsiaTheme="minorEastAsia" w:cs="Arial"/>
          <w:szCs w:val="24"/>
        </w:rPr>
        <w:t xml:space="preserve"> 11</w:t>
      </w:r>
      <w:r w:rsidR="006B3EC8" w:rsidRPr="00C5238B">
        <w:rPr>
          <w:rFonts w:eastAsiaTheme="minorEastAsia" w:cs="Arial"/>
          <w:szCs w:val="24"/>
        </w:rPr>
        <w:t xml:space="preserve"> </w:t>
      </w:r>
      <w:r w:rsidR="00FE5112">
        <w:rPr>
          <w:rFonts w:eastAsiaTheme="minorEastAsia" w:cs="Arial"/>
          <w:szCs w:val="24"/>
        </w:rPr>
        <w:t xml:space="preserve">zur </w:t>
      </w:r>
      <w:r w:rsidR="006B266E">
        <w:rPr>
          <w:rFonts w:eastAsiaTheme="minorEastAsia" w:cs="Arial"/>
          <w:szCs w:val="24"/>
        </w:rPr>
        <w:t xml:space="preserve">EDV- Betreuung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AC1CB2" w:rsidRPr="002B372F" w:rsidRDefault="00AC1CB2" w:rsidP="00AC1CB2">
      <w:pPr>
        <w:rPr>
          <w:rFonts w:eastAsiaTheme="minorEastAsia" w:cs="Arial"/>
          <w:szCs w:val="24"/>
        </w:rPr>
      </w:pPr>
      <w:r w:rsidRPr="002B372F">
        <w:rPr>
          <w:rFonts w:eastAsiaTheme="minorEastAsia" w:cs="Arial"/>
          <w:szCs w:val="24"/>
        </w:rPr>
        <w:t>Auf die ausführlich</w:t>
      </w:r>
      <w:r>
        <w:rPr>
          <w:rFonts w:eastAsiaTheme="minorEastAsia" w:cs="Arial"/>
          <w:szCs w:val="24"/>
        </w:rPr>
        <w:t xml:space="preserve">en Begründungen in der </w:t>
      </w:r>
      <w:proofErr w:type="spellStart"/>
      <w:r>
        <w:rPr>
          <w:rFonts w:eastAsiaTheme="minorEastAsia" w:cs="Arial"/>
          <w:szCs w:val="24"/>
        </w:rPr>
        <w:t>GRDrs</w:t>
      </w:r>
      <w:proofErr w:type="spellEnd"/>
      <w:r>
        <w:rPr>
          <w:rFonts w:eastAsiaTheme="minorEastAsia" w:cs="Arial"/>
          <w:szCs w:val="24"/>
        </w:rPr>
        <w:t xml:space="preserve"> 794</w:t>
      </w:r>
      <w:r w:rsidRPr="002B372F">
        <w:rPr>
          <w:rFonts w:eastAsiaTheme="minorEastAsia" w:cs="Arial"/>
          <w:szCs w:val="24"/>
        </w:rPr>
        <w:t xml:space="preserve">/2018 </w:t>
      </w:r>
      <w:r w:rsidR="00611253">
        <w:rPr>
          <w:rFonts w:eastAsiaTheme="minorEastAsia" w:cs="Arial"/>
          <w:szCs w:val="24"/>
        </w:rPr>
        <w:t xml:space="preserve">für eine 0,5 Stelle </w:t>
      </w:r>
      <w:r>
        <w:rPr>
          <w:rFonts w:eastAsiaTheme="minorEastAsia" w:cs="Arial"/>
          <w:szCs w:val="24"/>
        </w:rPr>
        <w:t xml:space="preserve">sowie auf den Gemeinderatsantrag Nr. 346/2018 </w:t>
      </w:r>
      <w:r w:rsidR="00611253">
        <w:rPr>
          <w:rFonts w:eastAsiaTheme="minorEastAsia" w:cs="Arial"/>
          <w:szCs w:val="24"/>
        </w:rPr>
        <w:t xml:space="preserve">für weitere 1,5 Stellen </w:t>
      </w:r>
      <w:r w:rsidRPr="002B372F">
        <w:rPr>
          <w:rFonts w:eastAsiaTheme="minorEastAsia" w:cs="Arial"/>
          <w:szCs w:val="24"/>
        </w:rPr>
        <w:t>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6B266E" w:rsidRDefault="006B266E" w:rsidP="006B266E">
      <w:r>
        <w:rPr>
          <w:rFonts w:eastAsiaTheme="minorHAnsi" w:cstheme="minorBidi"/>
          <w:szCs w:val="24"/>
          <w:lang w:eastAsia="en-US"/>
        </w:rPr>
        <w:t>U</w:t>
      </w:r>
      <w:r w:rsidRPr="00716861">
        <w:rPr>
          <w:rFonts w:eastAsiaTheme="minorHAnsi" w:cstheme="minorBidi"/>
          <w:szCs w:val="24"/>
          <w:lang w:eastAsia="en-US"/>
        </w:rPr>
        <w:t>m die PROSOZ-Systembetreuung, EDV- und haushaltstechnische Umstellung des Leistungsrechts und insbesondere die EDV-Pilotanwendung für die neue Software und die notwendigen Programmtests/-prüfungen sicher zu stellen</w:t>
      </w:r>
      <w:r w:rsidR="00EA7CBE">
        <w:rPr>
          <w:rFonts w:eastAsiaTheme="minorHAnsi" w:cstheme="minorBidi"/>
          <w:szCs w:val="24"/>
          <w:lang w:eastAsia="en-US"/>
        </w:rPr>
        <w:t>,</w:t>
      </w:r>
      <w:r>
        <w:rPr>
          <w:rFonts w:eastAsiaTheme="minorHAnsi" w:cstheme="minorBidi"/>
          <w:szCs w:val="24"/>
          <w:lang w:eastAsia="en-US"/>
        </w:rPr>
        <w:t xml:space="preserve"> </w:t>
      </w:r>
      <w:r w:rsidR="00EA7CBE">
        <w:rPr>
          <w:rFonts w:eastAsiaTheme="minorHAnsi" w:cstheme="minorBidi"/>
          <w:szCs w:val="24"/>
          <w:lang w:eastAsia="en-US"/>
        </w:rPr>
        <w:t>sind</w:t>
      </w:r>
      <w:r>
        <w:t xml:space="preserve"> die zusätzliche</w:t>
      </w:r>
      <w:r w:rsidR="00EA7CBE">
        <w:t>n zwei</w:t>
      </w:r>
      <w:r>
        <w:t xml:space="preserve"> Stelle</w:t>
      </w:r>
      <w:r w:rsidR="00EA7CBE">
        <w:t>n</w:t>
      </w:r>
      <w:r>
        <w:t xml:space="preserve"> erforderlich.</w:t>
      </w:r>
    </w:p>
    <w:p w:rsidR="006B266E" w:rsidRPr="00716861" w:rsidRDefault="006B266E" w:rsidP="006B266E">
      <w:pPr>
        <w:rPr>
          <w:rFonts w:eastAsiaTheme="minorHAnsi" w:cs="Arial"/>
          <w:szCs w:val="24"/>
          <w:lang w:eastAsia="en-US"/>
        </w:rPr>
      </w:pPr>
      <w:r w:rsidRPr="00716861">
        <w:rPr>
          <w:rFonts w:eastAsiaTheme="minorHAnsi" w:cstheme="minorBidi"/>
          <w:szCs w:val="24"/>
          <w:lang w:eastAsia="en-US"/>
        </w:rPr>
        <w:t>Ein erheblicher Personalbedarf im Bereich der EDV entsteht auch durch die gesetzlichen Vorgaben zum Teilhabeverfahrensbericht (§ 41 SGB IX</w:t>
      </w:r>
      <w:r w:rsidRPr="00716861">
        <w:rPr>
          <w:rFonts w:eastAsiaTheme="minorHAnsi" w:cs="Arial"/>
          <w:szCs w:val="24"/>
          <w:lang w:eastAsia="en-US"/>
        </w:rPr>
        <w:t>).</w:t>
      </w:r>
    </w:p>
    <w:p w:rsidR="00FD3702" w:rsidRDefault="00FD3702" w:rsidP="00CD7322"/>
    <w:p w:rsidR="006B266E" w:rsidRDefault="006B266E" w:rsidP="00CD7322"/>
    <w:p w:rsidR="006B266E" w:rsidRPr="00CD7322" w:rsidRDefault="006B266E" w:rsidP="00CD7322"/>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CD7322" w:rsidRDefault="00FE5112" w:rsidP="00884D6C">
      <w:r w:rsidRPr="00E160D2">
        <w:t xml:space="preserve">Die </w:t>
      </w:r>
      <w:r w:rsidR="00FA681C" w:rsidRPr="00E160D2">
        <w:t xml:space="preserve">PROSOZ-Systembetreuung für die </w:t>
      </w:r>
      <w:r w:rsidRPr="00E160D2">
        <w:t xml:space="preserve">Eingliederungshilfe </w:t>
      </w:r>
      <w:r w:rsidR="00FA681C">
        <w:t xml:space="preserve">(nach altem Recht) </w:t>
      </w:r>
      <w:r>
        <w:t>wurde seither beim Sozialamt wahrgenommen.</w:t>
      </w:r>
    </w:p>
    <w:p w:rsidR="007E5B1A" w:rsidRDefault="007E5B1A" w:rsidP="00884D6C"/>
    <w:p w:rsidR="007E5B1A" w:rsidRDefault="007E5B1A" w:rsidP="00884D6C"/>
    <w:p w:rsidR="003D7B0B" w:rsidRDefault="006E0575" w:rsidP="00884D6C">
      <w:pPr>
        <w:pStyle w:val="berschrift2"/>
      </w:pPr>
      <w:r>
        <w:t>3.3</w:t>
      </w:r>
      <w:r w:rsidR="003D7B0B">
        <w:tab/>
        <w:t>Auswirkungen bei Ablehnung der Stellenschaffungen</w:t>
      </w:r>
    </w:p>
    <w:p w:rsidR="005364DC" w:rsidRDefault="005364DC" w:rsidP="005364DC"/>
    <w:p w:rsidR="005364DC" w:rsidRPr="005364DC" w:rsidRDefault="005364DC" w:rsidP="005364DC">
      <w:r w:rsidRPr="005364DC">
        <w:rPr>
          <w:rFonts w:cs="Arial"/>
          <w:szCs w:val="24"/>
        </w:rPr>
        <w:t>Ohne die zusätzlich</w:t>
      </w:r>
      <w:r w:rsidR="00FD3702">
        <w:rPr>
          <w:rFonts w:cs="Arial"/>
          <w:szCs w:val="24"/>
        </w:rPr>
        <w:t>e</w:t>
      </w:r>
      <w:r w:rsidR="00E160D2">
        <w:rPr>
          <w:rFonts w:cs="Arial"/>
          <w:szCs w:val="24"/>
        </w:rPr>
        <w:t>n</w:t>
      </w:r>
      <w:r w:rsidRPr="005364DC">
        <w:rPr>
          <w:rFonts w:cs="Arial"/>
          <w:szCs w:val="24"/>
        </w:rPr>
        <w:t xml:space="preserve"> </w:t>
      </w:r>
      <w:r w:rsidR="00FD3702">
        <w:rPr>
          <w:rFonts w:cs="Arial"/>
          <w:szCs w:val="24"/>
        </w:rPr>
        <w:t>Stelle</w:t>
      </w:r>
      <w:r w:rsidR="00E160D2">
        <w:rPr>
          <w:rFonts w:cs="Arial"/>
          <w:szCs w:val="24"/>
        </w:rPr>
        <w:t>n</w:t>
      </w:r>
      <w:r w:rsidRPr="005364DC">
        <w:rPr>
          <w:rFonts w:cs="Arial"/>
          <w:szCs w:val="24"/>
        </w:rPr>
        <w:t xml:space="preserve"> ist die ordnungsgemäße Leistungsgewährung in Zusammenhang mit den Er</w:t>
      </w:r>
      <w:r w:rsidR="00D66823">
        <w:rPr>
          <w:rFonts w:cs="Arial"/>
          <w:szCs w:val="24"/>
        </w:rPr>
        <w:t xml:space="preserve">fordernissen der Reformstufe 2 sowie </w:t>
      </w:r>
      <w:bookmarkStart w:id="0" w:name="_GoBack"/>
      <w:bookmarkEnd w:id="0"/>
      <w:r w:rsidRPr="005364DC">
        <w:rPr>
          <w:rFonts w:cs="Arial"/>
          <w:szCs w:val="24"/>
        </w:rPr>
        <w:t xml:space="preserve">die Umsetzung und die Vorbereitung der Reformstufe 3 des BTHG bei der Landeshauptstadt Stuttgart gefährdet.  </w:t>
      </w:r>
    </w:p>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0A7A3F"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D66823">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A7A3F"/>
    <w:rsid w:val="000B1121"/>
    <w:rsid w:val="000E5896"/>
    <w:rsid w:val="0011112B"/>
    <w:rsid w:val="00124DEF"/>
    <w:rsid w:val="001275F2"/>
    <w:rsid w:val="0014415D"/>
    <w:rsid w:val="00162DCD"/>
    <w:rsid w:val="00163034"/>
    <w:rsid w:val="00165C0D"/>
    <w:rsid w:val="00173463"/>
    <w:rsid w:val="00181857"/>
    <w:rsid w:val="00184EDC"/>
    <w:rsid w:val="00194770"/>
    <w:rsid w:val="001A5F9B"/>
    <w:rsid w:val="001D17AA"/>
    <w:rsid w:val="001D54CB"/>
    <w:rsid w:val="001F7237"/>
    <w:rsid w:val="00224436"/>
    <w:rsid w:val="00261F51"/>
    <w:rsid w:val="00265DAA"/>
    <w:rsid w:val="002779E3"/>
    <w:rsid w:val="0028225B"/>
    <w:rsid w:val="002924CB"/>
    <w:rsid w:val="002A20D1"/>
    <w:rsid w:val="002B372F"/>
    <w:rsid w:val="002B5955"/>
    <w:rsid w:val="002C3C9E"/>
    <w:rsid w:val="002F52C1"/>
    <w:rsid w:val="00321CAF"/>
    <w:rsid w:val="00341F1E"/>
    <w:rsid w:val="00346502"/>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3AA4"/>
    <w:rsid w:val="004B6796"/>
    <w:rsid w:val="005006E0"/>
    <w:rsid w:val="0051087F"/>
    <w:rsid w:val="005364DC"/>
    <w:rsid w:val="005434DD"/>
    <w:rsid w:val="00566A23"/>
    <w:rsid w:val="0059239F"/>
    <w:rsid w:val="00596DF0"/>
    <w:rsid w:val="005A0A9D"/>
    <w:rsid w:val="005A56AA"/>
    <w:rsid w:val="005C0803"/>
    <w:rsid w:val="005D43F2"/>
    <w:rsid w:val="005D6222"/>
    <w:rsid w:val="005E103A"/>
    <w:rsid w:val="005E19C6"/>
    <w:rsid w:val="005F5B3D"/>
    <w:rsid w:val="00606F80"/>
    <w:rsid w:val="00611253"/>
    <w:rsid w:val="0065383D"/>
    <w:rsid w:val="00662565"/>
    <w:rsid w:val="0067174E"/>
    <w:rsid w:val="00695F7A"/>
    <w:rsid w:val="006A7700"/>
    <w:rsid w:val="006B266E"/>
    <w:rsid w:val="006B3EC8"/>
    <w:rsid w:val="006B6D50"/>
    <w:rsid w:val="006E0575"/>
    <w:rsid w:val="00723D82"/>
    <w:rsid w:val="00750A86"/>
    <w:rsid w:val="00754659"/>
    <w:rsid w:val="007A29E4"/>
    <w:rsid w:val="007A6B10"/>
    <w:rsid w:val="007E3B79"/>
    <w:rsid w:val="007E5B1A"/>
    <w:rsid w:val="007F46CB"/>
    <w:rsid w:val="00805F18"/>
    <w:rsid w:val="008066EE"/>
    <w:rsid w:val="00817BB6"/>
    <w:rsid w:val="00883CBE"/>
    <w:rsid w:val="00884D6C"/>
    <w:rsid w:val="008A0DAF"/>
    <w:rsid w:val="008A6853"/>
    <w:rsid w:val="008B3F45"/>
    <w:rsid w:val="00906404"/>
    <w:rsid w:val="009417E7"/>
    <w:rsid w:val="00976588"/>
    <w:rsid w:val="00977100"/>
    <w:rsid w:val="00990DDA"/>
    <w:rsid w:val="00A03582"/>
    <w:rsid w:val="00A14257"/>
    <w:rsid w:val="00A27CA7"/>
    <w:rsid w:val="00A53D72"/>
    <w:rsid w:val="00A71D0A"/>
    <w:rsid w:val="00A77F1E"/>
    <w:rsid w:val="00AC041D"/>
    <w:rsid w:val="00AC1CB2"/>
    <w:rsid w:val="00AD05FA"/>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5238B"/>
    <w:rsid w:val="00C76F3D"/>
    <w:rsid w:val="00CA321E"/>
    <w:rsid w:val="00CD7322"/>
    <w:rsid w:val="00CF0309"/>
    <w:rsid w:val="00D00514"/>
    <w:rsid w:val="00D461B9"/>
    <w:rsid w:val="00D541F0"/>
    <w:rsid w:val="00D66823"/>
    <w:rsid w:val="00D96564"/>
    <w:rsid w:val="00DB3D6C"/>
    <w:rsid w:val="00DB5BCF"/>
    <w:rsid w:val="00E014B6"/>
    <w:rsid w:val="00E1162F"/>
    <w:rsid w:val="00E11D5F"/>
    <w:rsid w:val="00E160D2"/>
    <w:rsid w:val="00E20E1F"/>
    <w:rsid w:val="00E354F2"/>
    <w:rsid w:val="00E55030"/>
    <w:rsid w:val="00E70A1D"/>
    <w:rsid w:val="00E7118F"/>
    <w:rsid w:val="00EA7CBE"/>
    <w:rsid w:val="00F214E0"/>
    <w:rsid w:val="00F27657"/>
    <w:rsid w:val="00F33301"/>
    <w:rsid w:val="00F342DC"/>
    <w:rsid w:val="00F602BE"/>
    <w:rsid w:val="00F63041"/>
    <w:rsid w:val="00F76452"/>
    <w:rsid w:val="00F902CF"/>
    <w:rsid w:val="00FA681C"/>
    <w:rsid w:val="00FB0D10"/>
    <w:rsid w:val="00FB2A0E"/>
    <w:rsid w:val="00FC1BCB"/>
    <w:rsid w:val="00FC1CDF"/>
    <w:rsid w:val="00FC78CA"/>
    <w:rsid w:val="00FD3702"/>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E417"/>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8A00F203.dotm</Template>
  <TotalTime>0</TotalTime>
  <Pages>2</Pages>
  <Words>267</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12</cp:revision>
  <cp:lastPrinted>2018-11-12T12:39:00Z</cp:lastPrinted>
  <dcterms:created xsi:type="dcterms:W3CDTF">2018-11-06T08:43:00Z</dcterms:created>
  <dcterms:modified xsi:type="dcterms:W3CDTF">2018-11-12T12:41:00Z</dcterms:modified>
</cp:coreProperties>
</file>