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820B18">
        <w:rPr>
          <w:szCs w:val="24"/>
        </w:rPr>
        <w:t>13</w:t>
      </w:r>
      <w:r w:rsidRPr="006E0575">
        <w:rPr>
          <w:szCs w:val="24"/>
        </w:rPr>
        <w:t xml:space="preserve"> zur </w:t>
      </w:r>
      <w:proofErr w:type="spellStart"/>
      <w:r w:rsidRPr="006E0575">
        <w:rPr>
          <w:szCs w:val="24"/>
        </w:rPr>
        <w:t>GRDrs</w:t>
      </w:r>
      <w:proofErr w:type="spellEnd"/>
      <w:r w:rsidRPr="006E0575">
        <w:rPr>
          <w:szCs w:val="24"/>
        </w:rPr>
        <w:t xml:space="preserve"> </w:t>
      </w:r>
      <w:r w:rsidR="00346502">
        <w:rPr>
          <w:szCs w:val="24"/>
        </w:rPr>
        <w:t>928</w:t>
      </w:r>
      <w:r w:rsidR="005F5B3D">
        <w:rPr>
          <w:szCs w:val="24"/>
        </w:rPr>
        <w:t>/201</w:t>
      </w:r>
      <w:r w:rsidR="00B10E22">
        <w:rPr>
          <w:szCs w:val="24"/>
        </w:rPr>
        <w:t>8</w:t>
      </w:r>
    </w:p>
    <w:p w:rsidR="00FC1BCB" w:rsidRDefault="00FC1BCB" w:rsidP="006E0575"/>
    <w:p w:rsidR="007E5B1A" w:rsidRPr="006E0575" w:rsidRDefault="007E5B1A"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B10E22" w:rsidP="005A56AA">
      <w:pPr>
        <w:tabs>
          <w:tab w:val="left" w:pos="6521"/>
        </w:tabs>
        <w:jc w:val="center"/>
        <w:rPr>
          <w:b/>
          <w:sz w:val="36"/>
          <w:u w:val="single"/>
        </w:rPr>
      </w:pPr>
      <w:r>
        <w:rPr>
          <w:b/>
          <w:sz w:val="36"/>
          <w:u w:val="single"/>
        </w:rPr>
        <w:t xml:space="preserve">im Vorgriff auf den </w:t>
      </w:r>
      <w:r w:rsidR="00184EDC" w:rsidRPr="00341F1E">
        <w:rPr>
          <w:b/>
          <w:sz w:val="36"/>
          <w:u w:val="single"/>
        </w:rPr>
        <w:t>Stellenplan 20</w:t>
      </w:r>
      <w:r>
        <w:rPr>
          <w:b/>
          <w:sz w:val="36"/>
          <w:u w:val="single"/>
        </w:rPr>
        <w:t>20</w:t>
      </w:r>
    </w:p>
    <w:p w:rsidR="00FC1BCB" w:rsidRDefault="00FC1BCB" w:rsidP="006E0575"/>
    <w:p w:rsidR="007E5B1A" w:rsidRDefault="007E5B1A"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96"/>
        <w:gridCol w:w="1819"/>
        <w:gridCol w:w="875"/>
        <w:gridCol w:w="1984"/>
        <w:gridCol w:w="709"/>
        <w:gridCol w:w="1025"/>
        <w:gridCol w:w="1417"/>
      </w:tblGrid>
      <w:tr w:rsidR="005F5B3D" w:rsidRPr="006E0575" w:rsidTr="00C5238B">
        <w:trPr>
          <w:tblHeader/>
        </w:trPr>
        <w:tc>
          <w:tcPr>
            <w:tcW w:w="1696"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819"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875"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8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09"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025"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AD48F5" w:rsidRPr="006E0575" w:rsidTr="00C5238B">
        <w:tc>
          <w:tcPr>
            <w:tcW w:w="1696" w:type="dxa"/>
          </w:tcPr>
          <w:p w:rsidR="00AD48F5" w:rsidRPr="00156ADA" w:rsidRDefault="00AD48F5" w:rsidP="00AD48F5">
            <w:pPr>
              <w:jc w:val="right"/>
              <w:rPr>
                <w:rFonts w:cs="Arial"/>
                <w:sz w:val="18"/>
                <w:szCs w:val="18"/>
              </w:rPr>
            </w:pPr>
          </w:p>
          <w:p w:rsidR="00AD48F5" w:rsidRDefault="00FE5112" w:rsidP="00AD48F5">
            <w:pPr>
              <w:rPr>
                <w:rFonts w:cs="Arial"/>
                <w:sz w:val="18"/>
                <w:szCs w:val="18"/>
              </w:rPr>
            </w:pPr>
            <w:r>
              <w:rPr>
                <w:rFonts w:cs="Arial"/>
                <w:sz w:val="18"/>
                <w:szCs w:val="18"/>
              </w:rPr>
              <w:t>500</w:t>
            </w:r>
            <w:r w:rsidR="00C5238B">
              <w:rPr>
                <w:rFonts w:cs="Arial"/>
                <w:sz w:val="18"/>
                <w:szCs w:val="18"/>
              </w:rPr>
              <w:t xml:space="preserve"> 0</w:t>
            </w:r>
            <w:r w:rsidR="004505B0">
              <w:rPr>
                <w:rFonts w:cs="Arial"/>
                <w:sz w:val="18"/>
                <w:szCs w:val="18"/>
              </w:rPr>
              <w:t>2</w:t>
            </w:r>
            <w:r w:rsidR="00D30048" w:rsidRPr="001919E6">
              <w:rPr>
                <w:rFonts w:cs="Arial"/>
                <w:sz w:val="18"/>
                <w:szCs w:val="18"/>
              </w:rPr>
              <w:t>00</w:t>
            </w:r>
            <w:r w:rsidR="00D30048">
              <w:rPr>
                <w:rFonts w:cs="Arial"/>
                <w:color w:val="FF0000"/>
                <w:sz w:val="18"/>
                <w:szCs w:val="18"/>
              </w:rPr>
              <w:t xml:space="preserve"> </w:t>
            </w:r>
            <w:r w:rsidR="00AD48F5" w:rsidRPr="00AD48F5">
              <w:rPr>
                <w:rFonts w:cs="Arial"/>
                <w:sz w:val="18"/>
                <w:szCs w:val="18"/>
              </w:rPr>
              <w:t>XXX</w:t>
            </w:r>
          </w:p>
          <w:p w:rsidR="00C5181A" w:rsidRDefault="00C5181A" w:rsidP="00AD48F5">
            <w:pPr>
              <w:rPr>
                <w:rFonts w:cs="Arial"/>
                <w:sz w:val="18"/>
                <w:szCs w:val="18"/>
              </w:rPr>
            </w:pPr>
          </w:p>
          <w:p w:rsidR="00D142F6" w:rsidRPr="00D142F6" w:rsidRDefault="00311502" w:rsidP="00AC07D1">
            <w:pPr>
              <w:rPr>
                <w:rFonts w:cs="Arial"/>
                <w:sz w:val="18"/>
                <w:szCs w:val="18"/>
              </w:rPr>
            </w:pPr>
            <w:r>
              <w:rPr>
                <w:rFonts w:cs="Arial"/>
                <w:sz w:val="18"/>
                <w:szCs w:val="18"/>
              </w:rPr>
              <w:t>50205090</w:t>
            </w:r>
          </w:p>
        </w:tc>
        <w:tc>
          <w:tcPr>
            <w:tcW w:w="1819" w:type="dxa"/>
          </w:tcPr>
          <w:p w:rsidR="00AD48F5" w:rsidRPr="002A31E2" w:rsidRDefault="00AD48F5" w:rsidP="00AD48F5">
            <w:pPr>
              <w:rPr>
                <w:rFonts w:cs="Arial"/>
                <w:sz w:val="14"/>
                <w:szCs w:val="14"/>
              </w:rPr>
            </w:pPr>
          </w:p>
          <w:p w:rsidR="00AD48F5" w:rsidRDefault="00FE5112" w:rsidP="00AD48F5">
            <w:pPr>
              <w:rPr>
                <w:rFonts w:cs="Arial"/>
                <w:sz w:val="18"/>
                <w:szCs w:val="18"/>
              </w:rPr>
            </w:pPr>
            <w:r>
              <w:rPr>
                <w:rFonts w:cs="Arial"/>
                <w:sz w:val="18"/>
                <w:szCs w:val="18"/>
              </w:rPr>
              <w:t>Sozialamt</w:t>
            </w:r>
          </w:p>
          <w:p w:rsidR="00AD48F5" w:rsidRDefault="00AD48F5" w:rsidP="00AD48F5">
            <w:pPr>
              <w:rPr>
                <w:rFonts w:cs="Arial"/>
                <w:sz w:val="18"/>
                <w:szCs w:val="18"/>
              </w:rPr>
            </w:pPr>
          </w:p>
          <w:p w:rsidR="00AD48F5" w:rsidRPr="002B372F" w:rsidRDefault="00AD48F5">
            <w:pPr>
              <w:rPr>
                <w:rFonts w:cs="Arial"/>
                <w:sz w:val="18"/>
                <w:szCs w:val="18"/>
              </w:rPr>
            </w:pPr>
          </w:p>
        </w:tc>
        <w:tc>
          <w:tcPr>
            <w:tcW w:w="875" w:type="dxa"/>
          </w:tcPr>
          <w:p w:rsidR="00AD48F5" w:rsidRPr="002A31E2" w:rsidRDefault="00AD48F5" w:rsidP="00AD48F5">
            <w:pPr>
              <w:rPr>
                <w:rFonts w:cs="Arial"/>
                <w:sz w:val="14"/>
                <w:szCs w:val="14"/>
              </w:rPr>
            </w:pPr>
          </w:p>
          <w:p w:rsidR="00AD48F5" w:rsidRPr="00AD48F5" w:rsidRDefault="00E31BAA" w:rsidP="00D30048">
            <w:pPr>
              <w:rPr>
                <w:rFonts w:cs="Arial"/>
                <w:sz w:val="18"/>
                <w:szCs w:val="18"/>
              </w:rPr>
            </w:pPr>
            <w:r>
              <w:rPr>
                <w:rFonts w:cs="Arial"/>
                <w:sz w:val="18"/>
                <w:szCs w:val="18"/>
              </w:rPr>
              <w:t>A 15</w:t>
            </w:r>
          </w:p>
        </w:tc>
        <w:tc>
          <w:tcPr>
            <w:tcW w:w="1984" w:type="dxa"/>
          </w:tcPr>
          <w:p w:rsidR="00AD48F5" w:rsidRDefault="00AD48F5" w:rsidP="00AD48F5">
            <w:pPr>
              <w:rPr>
                <w:rFonts w:cs="Arial"/>
                <w:sz w:val="18"/>
                <w:szCs w:val="18"/>
              </w:rPr>
            </w:pPr>
          </w:p>
          <w:p w:rsidR="00AD48F5" w:rsidRDefault="00C5238B" w:rsidP="00AD48F5">
            <w:pPr>
              <w:rPr>
                <w:rFonts w:cs="Arial"/>
                <w:sz w:val="18"/>
                <w:szCs w:val="18"/>
              </w:rPr>
            </w:pPr>
            <w:r>
              <w:rPr>
                <w:rFonts w:cs="Arial"/>
                <w:sz w:val="18"/>
                <w:szCs w:val="18"/>
              </w:rPr>
              <w:t>Umsetzung BTHG</w:t>
            </w:r>
          </w:p>
          <w:p w:rsidR="00C5238B" w:rsidRDefault="00C5238B" w:rsidP="00AD48F5">
            <w:pPr>
              <w:rPr>
                <w:rFonts w:cs="Arial"/>
                <w:sz w:val="18"/>
                <w:szCs w:val="18"/>
              </w:rPr>
            </w:pPr>
          </w:p>
          <w:p w:rsidR="00AD24CC" w:rsidRPr="00156ADA" w:rsidRDefault="00E31BAA" w:rsidP="00AD48F5">
            <w:pPr>
              <w:rPr>
                <w:rFonts w:cs="Arial"/>
                <w:sz w:val="18"/>
                <w:szCs w:val="18"/>
              </w:rPr>
            </w:pPr>
            <w:r>
              <w:rPr>
                <w:rFonts w:cs="Arial"/>
                <w:sz w:val="18"/>
                <w:szCs w:val="18"/>
              </w:rPr>
              <w:t>Abteilungsleitung</w:t>
            </w:r>
          </w:p>
        </w:tc>
        <w:tc>
          <w:tcPr>
            <w:tcW w:w="709" w:type="dxa"/>
          </w:tcPr>
          <w:p w:rsidR="00AD48F5" w:rsidRPr="00156ADA" w:rsidRDefault="00AD48F5" w:rsidP="00AD48F5">
            <w:pPr>
              <w:autoSpaceDE w:val="0"/>
              <w:autoSpaceDN w:val="0"/>
              <w:adjustRightInd w:val="0"/>
              <w:rPr>
                <w:rFonts w:cs="Arial"/>
                <w:color w:val="000000"/>
                <w:sz w:val="18"/>
                <w:szCs w:val="18"/>
              </w:rPr>
            </w:pPr>
          </w:p>
          <w:p w:rsidR="00AD48F5" w:rsidRPr="00156ADA" w:rsidRDefault="00CA321E" w:rsidP="00AD48F5">
            <w:pPr>
              <w:autoSpaceDE w:val="0"/>
              <w:autoSpaceDN w:val="0"/>
              <w:adjustRightInd w:val="0"/>
              <w:rPr>
                <w:rFonts w:cs="Arial"/>
                <w:sz w:val="18"/>
                <w:szCs w:val="18"/>
              </w:rPr>
            </w:pPr>
            <w:r>
              <w:rPr>
                <w:rFonts w:cs="Arial"/>
                <w:sz w:val="18"/>
                <w:szCs w:val="18"/>
              </w:rPr>
              <w:t>1</w:t>
            </w:r>
            <w:r w:rsidR="00AD48F5">
              <w:rPr>
                <w:rFonts w:cs="Arial"/>
                <w:sz w:val="18"/>
                <w:szCs w:val="18"/>
              </w:rPr>
              <w:t>,00</w:t>
            </w:r>
          </w:p>
        </w:tc>
        <w:tc>
          <w:tcPr>
            <w:tcW w:w="1025" w:type="dxa"/>
          </w:tcPr>
          <w:p w:rsidR="00AD48F5" w:rsidRPr="00156ADA" w:rsidRDefault="00AD48F5" w:rsidP="00AD48F5">
            <w:pPr>
              <w:autoSpaceDE w:val="0"/>
              <w:autoSpaceDN w:val="0"/>
              <w:adjustRightInd w:val="0"/>
              <w:rPr>
                <w:rFonts w:cs="Arial"/>
                <w:sz w:val="18"/>
                <w:szCs w:val="18"/>
              </w:rPr>
            </w:pPr>
          </w:p>
          <w:p w:rsidR="00AD48F5" w:rsidRPr="00AE046D" w:rsidRDefault="00AD24CC" w:rsidP="00346502">
            <w:pPr>
              <w:autoSpaceDE w:val="0"/>
              <w:autoSpaceDN w:val="0"/>
              <w:adjustRightInd w:val="0"/>
              <w:rPr>
                <w:color w:val="000000"/>
                <w:sz w:val="18"/>
                <w:szCs w:val="18"/>
              </w:rPr>
            </w:pPr>
            <w:r>
              <w:rPr>
                <w:color w:val="000000"/>
                <w:sz w:val="18"/>
                <w:szCs w:val="18"/>
              </w:rPr>
              <w:t>BP</w:t>
            </w:r>
          </w:p>
        </w:tc>
        <w:tc>
          <w:tcPr>
            <w:tcW w:w="1417" w:type="dxa"/>
          </w:tcPr>
          <w:p w:rsidR="00AD48F5" w:rsidRPr="00156ADA" w:rsidRDefault="00AD48F5" w:rsidP="004047CC">
            <w:pPr>
              <w:jc w:val="center"/>
              <w:rPr>
                <w:rFonts w:cs="Arial"/>
                <w:sz w:val="18"/>
                <w:szCs w:val="18"/>
              </w:rPr>
            </w:pPr>
          </w:p>
          <w:p w:rsidR="00FB0D10" w:rsidRDefault="00820B18" w:rsidP="004047CC">
            <w:pPr>
              <w:jc w:val="center"/>
              <w:rPr>
                <w:rFonts w:cs="Arial"/>
                <w:sz w:val="18"/>
                <w:szCs w:val="18"/>
              </w:rPr>
            </w:pPr>
            <w:r>
              <w:rPr>
                <w:rFonts w:cs="Arial"/>
                <w:sz w:val="18"/>
                <w:szCs w:val="18"/>
              </w:rPr>
              <w:t>(142.300)</w:t>
            </w:r>
          </w:p>
          <w:p w:rsidR="00820B18" w:rsidRDefault="00820B18" w:rsidP="004047CC">
            <w:pPr>
              <w:jc w:val="center"/>
              <w:rPr>
                <w:rFonts w:cs="Arial"/>
                <w:sz w:val="18"/>
                <w:szCs w:val="18"/>
              </w:rPr>
            </w:pPr>
            <w:r>
              <w:rPr>
                <w:rFonts w:cs="Arial"/>
                <w:sz w:val="18"/>
                <w:szCs w:val="18"/>
              </w:rPr>
              <w:t>hh-neutral</w:t>
            </w:r>
            <w:bookmarkStart w:id="0" w:name="_GoBack"/>
            <w:bookmarkEnd w:id="0"/>
          </w:p>
          <w:p w:rsidR="00346502" w:rsidRPr="00156ADA" w:rsidRDefault="00346502" w:rsidP="004047CC">
            <w:pPr>
              <w:jc w:val="center"/>
              <w:rPr>
                <w:rFonts w:cs="Arial"/>
                <w:sz w:val="18"/>
                <w:szCs w:val="18"/>
              </w:rPr>
            </w:pP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Pr="00C5238B" w:rsidRDefault="00390559" w:rsidP="00884D6C">
      <w:pPr>
        <w:rPr>
          <w:szCs w:val="24"/>
        </w:rPr>
      </w:pPr>
      <w:r w:rsidRPr="00C5238B">
        <w:rPr>
          <w:szCs w:val="24"/>
        </w:rPr>
        <w:t xml:space="preserve">Beantragt wird die Schaffung von </w:t>
      </w:r>
      <w:r w:rsidR="00CA321E">
        <w:rPr>
          <w:szCs w:val="24"/>
        </w:rPr>
        <w:t>1</w:t>
      </w:r>
      <w:r w:rsidR="006B3EC8" w:rsidRPr="00C5238B">
        <w:rPr>
          <w:szCs w:val="24"/>
        </w:rPr>
        <w:t>,00</w:t>
      </w:r>
      <w:r w:rsidRPr="00C5238B">
        <w:rPr>
          <w:szCs w:val="24"/>
        </w:rPr>
        <w:t xml:space="preserve"> Stelle </w:t>
      </w:r>
      <w:r w:rsidR="006B3EC8" w:rsidRPr="00C5238B">
        <w:rPr>
          <w:szCs w:val="24"/>
        </w:rPr>
        <w:t>in</w:t>
      </w:r>
      <w:r w:rsidR="006B3EC8" w:rsidRPr="00C5238B">
        <w:rPr>
          <w:rFonts w:eastAsiaTheme="minorEastAsia" w:cs="Arial"/>
          <w:szCs w:val="24"/>
        </w:rPr>
        <w:t xml:space="preserve"> </w:t>
      </w:r>
      <w:r w:rsidR="00FE5112">
        <w:rPr>
          <w:rFonts w:eastAsiaTheme="minorEastAsia" w:cs="Arial"/>
          <w:szCs w:val="24"/>
        </w:rPr>
        <w:t>A</w:t>
      </w:r>
      <w:r w:rsidR="00E31BAA">
        <w:rPr>
          <w:rFonts w:eastAsiaTheme="minorEastAsia" w:cs="Arial"/>
          <w:szCs w:val="24"/>
        </w:rPr>
        <w:t xml:space="preserve"> 15</w:t>
      </w:r>
      <w:r w:rsidR="006B3EC8" w:rsidRPr="00C5238B">
        <w:rPr>
          <w:rFonts w:eastAsiaTheme="minorEastAsia" w:cs="Arial"/>
          <w:szCs w:val="24"/>
        </w:rPr>
        <w:t xml:space="preserve"> </w:t>
      </w:r>
      <w:r w:rsidR="00E31BAA">
        <w:rPr>
          <w:rFonts w:eastAsiaTheme="minorEastAsia" w:cs="Arial"/>
          <w:szCs w:val="24"/>
        </w:rPr>
        <w:t xml:space="preserve">zum Aufbau und zur Leitung der neu zu schaffenden Abteilung </w:t>
      </w:r>
      <w:r w:rsidR="00C5238B">
        <w:rPr>
          <w:rFonts w:cs="Arial"/>
          <w:szCs w:val="24"/>
        </w:rPr>
        <w:t xml:space="preserve">im Zuge der Umsetzung des </w:t>
      </w:r>
      <w:r w:rsidR="00FB0D10">
        <w:rPr>
          <w:rFonts w:cs="Arial"/>
          <w:szCs w:val="24"/>
        </w:rPr>
        <w:t>neuen</w:t>
      </w:r>
      <w:r w:rsidR="00FB0D10" w:rsidRPr="00C5238B">
        <w:rPr>
          <w:rFonts w:cs="Arial"/>
          <w:szCs w:val="24"/>
        </w:rPr>
        <w:t xml:space="preserve"> Leistungsrecht</w:t>
      </w:r>
      <w:r w:rsidR="00FB0D10">
        <w:rPr>
          <w:rFonts w:cs="Arial"/>
          <w:szCs w:val="24"/>
        </w:rPr>
        <w:t>s</w:t>
      </w:r>
      <w:r w:rsidR="00FB0D10" w:rsidRPr="00C5238B">
        <w:rPr>
          <w:rFonts w:cs="Arial"/>
          <w:szCs w:val="24"/>
        </w:rPr>
        <w:t xml:space="preserve"> der Eingliederungshilfe </w:t>
      </w:r>
      <w:r w:rsidR="00C5238B">
        <w:rPr>
          <w:rFonts w:cs="Arial"/>
          <w:szCs w:val="24"/>
        </w:rPr>
        <w:t xml:space="preserve">BTHG </w:t>
      </w:r>
      <w:r w:rsidR="00FB0D10">
        <w:rPr>
          <w:rFonts w:cs="Arial"/>
          <w:szCs w:val="24"/>
        </w:rPr>
        <w:t xml:space="preserve">(Bundesteilhabegesetz) </w:t>
      </w:r>
      <w:r w:rsidR="00FE5112">
        <w:rPr>
          <w:rFonts w:cs="Arial"/>
          <w:szCs w:val="24"/>
        </w:rPr>
        <w:t>beim Sozialamt</w:t>
      </w:r>
      <w:r w:rsidR="00C5238B">
        <w:rPr>
          <w:rFonts w:cs="Arial"/>
          <w:szCs w:val="24"/>
        </w:rPr>
        <w:t>.</w:t>
      </w:r>
      <w:r w:rsidR="002B372F" w:rsidRPr="00C5238B">
        <w:rPr>
          <w:rFonts w:eastAsiaTheme="minorEastAsia" w:cs="Arial"/>
          <w:szCs w:val="24"/>
        </w:rPr>
        <w:t xml:space="preserve"> </w:t>
      </w:r>
    </w:p>
    <w:p w:rsidR="003D7B0B" w:rsidRDefault="003D7B0B" w:rsidP="00884D6C">
      <w:pPr>
        <w:pStyle w:val="berschrift1"/>
      </w:pPr>
      <w:r>
        <w:t>2</w:t>
      </w:r>
      <w:r>
        <w:tab/>
        <w:t>Schaffun</w:t>
      </w:r>
      <w:r w:rsidRPr="00884D6C">
        <w:rPr>
          <w:u w:val="none"/>
        </w:rPr>
        <w:t>g</w:t>
      </w:r>
      <w:r>
        <w:t>skriterien</w:t>
      </w:r>
    </w:p>
    <w:p w:rsidR="0065383D" w:rsidRDefault="0065383D" w:rsidP="00884D6C">
      <w:pPr>
        <w:rPr>
          <w:u w:val="single"/>
        </w:rPr>
      </w:pPr>
    </w:p>
    <w:p w:rsidR="00E31BAA" w:rsidRPr="002B372F" w:rsidRDefault="00E31BAA" w:rsidP="00E31BAA">
      <w:pPr>
        <w:rPr>
          <w:rFonts w:eastAsiaTheme="minorEastAsia" w:cs="Arial"/>
          <w:szCs w:val="24"/>
        </w:rPr>
      </w:pPr>
      <w:r w:rsidRPr="002B372F">
        <w:rPr>
          <w:rFonts w:eastAsiaTheme="minorEastAsia" w:cs="Arial"/>
          <w:szCs w:val="24"/>
        </w:rPr>
        <w:t>Auf die ausführlich</w:t>
      </w:r>
      <w:r>
        <w:rPr>
          <w:rFonts w:eastAsiaTheme="minorEastAsia" w:cs="Arial"/>
          <w:szCs w:val="24"/>
        </w:rPr>
        <w:t xml:space="preserve">en Begründungen in der </w:t>
      </w:r>
      <w:proofErr w:type="spellStart"/>
      <w:r>
        <w:rPr>
          <w:rFonts w:eastAsiaTheme="minorEastAsia" w:cs="Arial"/>
          <w:szCs w:val="24"/>
        </w:rPr>
        <w:t>GRDrs</w:t>
      </w:r>
      <w:proofErr w:type="spellEnd"/>
      <w:r>
        <w:rPr>
          <w:rFonts w:eastAsiaTheme="minorEastAsia" w:cs="Arial"/>
          <w:szCs w:val="24"/>
        </w:rPr>
        <w:t xml:space="preserve"> 794</w:t>
      </w:r>
      <w:r w:rsidRPr="002B372F">
        <w:rPr>
          <w:rFonts w:eastAsiaTheme="minorEastAsia" w:cs="Arial"/>
          <w:szCs w:val="24"/>
        </w:rPr>
        <w:t xml:space="preserve">/2018 </w:t>
      </w:r>
      <w:r>
        <w:rPr>
          <w:rFonts w:eastAsiaTheme="minorEastAsia" w:cs="Arial"/>
          <w:szCs w:val="24"/>
        </w:rPr>
        <w:t xml:space="preserve">sowie auf den Gemeinderatsantrag Nr. 346/2018 </w:t>
      </w:r>
      <w:r w:rsidRPr="002B372F">
        <w:rPr>
          <w:rFonts w:eastAsiaTheme="minorEastAsia" w:cs="Arial"/>
          <w:szCs w:val="24"/>
        </w:rPr>
        <w:t>wird Bezug genommen.</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CD7322" w:rsidRDefault="00CD7322" w:rsidP="00CD7322"/>
    <w:p w:rsidR="00C5238B" w:rsidRDefault="00FE5112" w:rsidP="00FE5112">
      <w:pPr>
        <w:ind w:right="-23"/>
        <w:rPr>
          <w:rFonts w:cs="Arial"/>
          <w:szCs w:val="24"/>
        </w:rPr>
      </w:pPr>
      <w:r w:rsidRPr="00FE5112">
        <w:rPr>
          <w:rFonts w:cs="Arial"/>
          <w:szCs w:val="24"/>
        </w:rPr>
        <w:t>Die mit dem BTHG verbundenen umfangreichen Rechtsänderungen beinhalten hinsichtlich eines neuen Leistungsverständnisses (z. B. Personenzentrierung, Trennung von Lebensunterhaltsleistung und Fachleistung, Abkoppelung von Sozialhilfe) Chancen für Menschen mit Behinderung zur Verbesserung ihrer Teilhabemöglichkeiten, aber auch grundlegende strukturelle, personelle und organisatorische Änderungsnotwendigkeiten auf Seiten der kommunalen Leistungsträger.</w:t>
      </w:r>
      <w:r>
        <w:rPr>
          <w:rFonts w:cs="Arial"/>
          <w:szCs w:val="24"/>
        </w:rPr>
        <w:t xml:space="preserve"> Somit </w:t>
      </w:r>
      <w:r w:rsidR="00C5238B" w:rsidRPr="002159BC">
        <w:rPr>
          <w:rFonts w:cs="Arial"/>
          <w:szCs w:val="24"/>
        </w:rPr>
        <w:t xml:space="preserve">bringt </w:t>
      </w:r>
      <w:r>
        <w:rPr>
          <w:rFonts w:cs="Arial"/>
          <w:szCs w:val="24"/>
        </w:rPr>
        <w:t xml:space="preserve">das BTHG </w:t>
      </w:r>
      <w:r w:rsidR="00C5238B" w:rsidRPr="002159BC">
        <w:rPr>
          <w:rFonts w:cs="Arial"/>
          <w:szCs w:val="24"/>
        </w:rPr>
        <w:t xml:space="preserve">für das </w:t>
      </w:r>
      <w:r>
        <w:rPr>
          <w:rFonts w:cs="Arial"/>
          <w:szCs w:val="24"/>
        </w:rPr>
        <w:t>Sozialamt große Veränderungen</w:t>
      </w:r>
      <w:r w:rsidR="00C5238B" w:rsidRPr="002159BC">
        <w:rPr>
          <w:rFonts w:cs="Arial"/>
          <w:szCs w:val="24"/>
        </w:rPr>
        <w:t xml:space="preserve"> mit sich.</w:t>
      </w:r>
    </w:p>
    <w:p w:rsidR="005364DC" w:rsidRDefault="005364DC" w:rsidP="00FE5112">
      <w:pPr>
        <w:ind w:right="-23"/>
        <w:rPr>
          <w:rFonts w:cs="Arial"/>
          <w:szCs w:val="24"/>
        </w:rPr>
      </w:pPr>
    </w:p>
    <w:p w:rsidR="00CD7322" w:rsidRDefault="00E31BAA" w:rsidP="00CD7322">
      <w:r>
        <w:t xml:space="preserve">In der Projektlenkungsgruppe des </w:t>
      </w:r>
      <w:r w:rsidR="00311502">
        <w:t xml:space="preserve">Projekts zur Umsetzung des BTHG, </w:t>
      </w:r>
      <w:r w:rsidR="00311502" w:rsidRPr="00345C9E">
        <w:t>der u. a. die Referate Allgemeine Verwaltung</w:t>
      </w:r>
      <w:r w:rsidR="00345C9E" w:rsidRPr="00345C9E">
        <w:t>, Kultur</w:t>
      </w:r>
      <w:r w:rsidR="00311502" w:rsidRPr="00345C9E">
        <w:t xml:space="preserve"> und Recht</w:t>
      </w:r>
      <w:r w:rsidR="00301237">
        <w:t xml:space="preserve"> (AKR)</w:t>
      </w:r>
      <w:r w:rsidR="00311502" w:rsidRPr="00345C9E">
        <w:t xml:space="preserve">, Wirtschaft, Finanzen und Beteiligungen </w:t>
      </w:r>
      <w:r w:rsidR="00301237">
        <w:t xml:space="preserve">(WFB) </w:t>
      </w:r>
      <w:r w:rsidR="00311502" w:rsidRPr="00345C9E">
        <w:t xml:space="preserve">sowie Soziales und gesellschaftliche Integration </w:t>
      </w:r>
      <w:r w:rsidR="00301237">
        <w:t xml:space="preserve">(SI) </w:t>
      </w:r>
      <w:r w:rsidR="00311502" w:rsidRPr="00345C9E">
        <w:t xml:space="preserve">angehören, </w:t>
      </w:r>
      <w:r w:rsidRPr="00345C9E">
        <w:t>wurde</w:t>
      </w:r>
      <w:r>
        <w:t xml:space="preserve"> in der Sitzung am 05.11.2018 beschlossen</w:t>
      </w:r>
      <w:r w:rsidR="001919E6">
        <w:t xml:space="preserve">, dass die Aufgabe der Eingliederungshilfe beim Sozialamt zentralisiert </w:t>
      </w:r>
      <w:r w:rsidR="001919E6" w:rsidRPr="00345C9E">
        <w:t>werden soll</w:t>
      </w:r>
      <w:r w:rsidR="001919E6">
        <w:t xml:space="preserve"> und </w:t>
      </w:r>
      <w:r w:rsidR="00345C9E">
        <w:t xml:space="preserve">sich hierfür </w:t>
      </w:r>
      <w:r w:rsidR="001919E6" w:rsidRPr="00345C9E">
        <w:t>perspektivisch</w:t>
      </w:r>
      <w:r w:rsidR="001919E6" w:rsidRPr="00311502">
        <w:rPr>
          <w:color w:val="FF0000"/>
        </w:rPr>
        <w:t xml:space="preserve"> </w:t>
      </w:r>
      <w:r w:rsidR="001919E6">
        <w:t>eine Abteilungsstruktur</w:t>
      </w:r>
      <w:r w:rsidR="00311502">
        <w:t xml:space="preserve"> </w:t>
      </w:r>
      <w:r w:rsidR="00345C9E">
        <w:t>anbietet</w:t>
      </w:r>
      <w:r>
        <w:t xml:space="preserve">. Zum Aufbau und zur Leitung der neu zu schaffenden Abteilung </w:t>
      </w:r>
      <w:r w:rsidR="00CA321E">
        <w:t>ist die zusätzliche Stelle erforderlich.</w:t>
      </w:r>
    </w:p>
    <w:p w:rsidR="00FD3702" w:rsidRDefault="00FD3702" w:rsidP="00CD7322"/>
    <w:p w:rsidR="00345C9E" w:rsidRPr="00CD7322" w:rsidRDefault="00345C9E" w:rsidP="00CD7322"/>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CD7322" w:rsidRDefault="00FE5112" w:rsidP="00884D6C">
      <w:r>
        <w:t xml:space="preserve">Die Eingliederungshilfe wurde seither (nach altem Recht) </w:t>
      </w:r>
      <w:r w:rsidR="00E31BAA">
        <w:t xml:space="preserve">in der Abteilung Sozialleistungen </w:t>
      </w:r>
      <w:r>
        <w:t>beim Sozialamt und bei den Bezirksämtern wahrgenommen.</w:t>
      </w:r>
    </w:p>
    <w:p w:rsidR="007E5B1A" w:rsidRDefault="007E5B1A" w:rsidP="00884D6C"/>
    <w:p w:rsidR="007E5B1A" w:rsidRDefault="007E5B1A" w:rsidP="00884D6C"/>
    <w:p w:rsidR="003D7B0B" w:rsidRDefault="006E0575" w:rsidP="00884D6C">
      <w:pPr>
        <w:pStyle w:val="berschrift2"/>
      </w:pPr>
      <w:r>
        <w:t>3.3</w:t>
      </w:r>
      <w:r w:rsidR="003D7B0B">
        <w:tab/>
        <w:t>Auswirkungen bei Ablehnung der Stellenschaffungen</w:t>
      </w:r>
    </w:p>
    <w:p w:rsidR="005364DC" w:rsidRDefault="005364DC" w:rsidP="005364DC"/>
    <w:p w:rsidR="005364DC" w:rsidRPr="005364DC" w:rsidRDefault="005364DC" w:rsidP="005364DC">
      <w:r w:rsidRPr="005364DC">
        <w:rPr>
          <w:rFonts w:cs="Arial"/>
          <w:szCs w:val="24"/>
        </w:rPr>
        <w:t>Ohne die zusätzlich</w:t>
      </w:r>
      <w:r w:rsidR="00FD3702">
        <w:rPr>
          <w:rFonts w:cs="Arial"/>
          <w:szCs w:val="24"/>
        </w:rPr>
        <w:t>e</w:t>
      </w:r>
      <w:r w:rsidRPr="005364DC">
        <w:rPr>
          <w:rFonts w:cs="Arial"/>
          <w:szCs w:val="24"/>
        </w:rPr>
        <w:t xml:space="preserve"> </w:t>
      </w:r>
      <w:r w:rsidR="00FD3702">
        <w:rPr>
          <w:rFonts w:cs="Arial"/>
          <w:szCs w:val="24"/>
        </w:rPr>
        <w:t>Stelle</w:t>
      </w:r>
      <w:r w:rsidRPr="005364DC">
        <w:rPr>
          <w:rFonts w:cs="Arial"/>
          <w:szCs w:val="24"/>
        </w:rPr>
        <w:t xml:space="preserve"> ist </w:t>
      </w:r>
      <w:r w:rsidR="00E31BAA">
        <w:rPr>
          <w:rFonts w:cs="Arial"/>
          <w:szCs w:val="24"/>
        </w:rPr>
        <w:t xml:space="preserve">der vorgesehene Aufbau der neuen Abteilung und damit auch </w:t>
      </w:r>
      <w:r w:rsidRPr="005364DC">
        <w:rPr>
          <w:rFonts w:cs="Arial"/>
          <w:szCs w:val="24"/>
        </w:rPr>
        <w:t xml:space="preserve">die </w:t>
      </w:r>
      <w:r w:rsidR="00E31BAA">
        <w:rPr>
          <w:rFonts w:cs="Arial"/>
          <w:szCs w:val="24"/>
        </w:rPr>
        <w:t xml:space="preserve">zukünftige </w:t>
      </w:r>
      <w:r w:rsidRPr="005364DC">
        <w:rPr>
          <w:rFonts w:cs="Arial"/>
          <w:szCs w:val="24"/>
        </w:rPr>
        <w:t xml:space="preserve">ordnungsgemäße Leistungsgewährung </w:t>
      </w:r>
      <w:r w:rsidR="00E31BAA">
        <w:rPr>
          <w:rFonts w:cs="Arial"/>
          <w:szCs w:val="24"/>
        </w:rPr>
        <w:t>nach dem</w:t>
      </w:r>
      <w:r w:rsidRPr="005364DC">
        <w:rPr>
          <w:rFonts w:cs="Arial"/>
          <w:szCs w:val="24"/>
        </w:rPr>
        <w:t xml:space="preserve"> BTHG bei der Landeshauptstadt Stuttgart gefährdet.  </w:t>
      </w:r>
    </w:p>
    <w:p w:rsidR="00FC1BCB" w:rsidRDefault="00FC1BCB" w:rsidP="00FC1BCB"/>
    <w:p w:rsidR="003D7B0B" w:rsidRPr="004047CC" w:rsidRDefault="00884D6C" w:rsidP="00884D6C">
      <w:pPr>
        <w:pStyle w:val="berschrift1"/>
      </w:pPr>
      <w:r w:rsidRPr="004047CC">
        <w:t>4</w:t>
      </w:r>
      <w:r w:rsidRPr="004047CC">
        <w:tab/>
      </w:r>
      <w:r w:rsidR="003D7B0B" w:rsidRPr="004047CC">
        <w:t>Stellenvermerke</w:t>
      </w:r>
    </w:p>
    <w:p w:rsidR="003D7B0B" w:rsidRPr="004047CC" w:rsidRDefault="003D7B0B" w:rsidP="00884D6C"/>
    <w:p w:rsidR="00AD48F5" w:rsidRPr="004047CC" w:rsidRDefault="00AD24CC" w:rsidP="00884D6C">
      <w:r>
        <w:t>BP-Vermerk</w:t>
      </w:r>
    </w:p>
    <w:sectPr w:rsidR="00AD48F5" w:rsidRPr="004047CC" w:rsidSect="00CD7322">
      <w:headerReference w:type="default" r:id="rId7"/>
      <w:pgSz w:w="11907" w:h="16840" w:code="9"/>
      <w:pgMar w:top="1418" w:right="1134" w:bottom="1276"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01" w:rsidRDefault="00F33301">
      <w:r>
        <w:separator/>
      </w:r>
    </w:p>
  </w:endnote>
  <w:endnote w:type="continuationSeparator" w:id="0">
    <w:p w:rsidR="00F33301" w:rsidRDefault="00F3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01" w:rsidRDefault="00F33301">
      <w:r>
        <w:separator/>
      </w:r>
    </w:p>
  </w:footnote>
  <w:footnote w:type="continuationSeparator" w:id="0">
    <w:p w:rsidR="00F33301" w:rsidRDefault="00F3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FC1CDF">
      <w:rPr>
        <w:rStyle w:val="Seitenzahl"/>
      </w:rPr>
      <w:fldChar w:fldCharType="begin"/>
    </w:r>
    <w:r>
      <w:rPr>
        <w:rStyle w:val="Seitenzahl"/>
      </w:rPr>
      <w:instrText xml:space="preserve"> PAGE </w:instrText>
    </w:r>
    <w:r w:rsidR="00FC1CDF">
      <w:rPr>
        <w:rStyle w:val="Seitenzahl"/>
      </w:rPr>
      <w:fldChar w:fldCharType="separate"/>
    </w:r>
    <w:r w:rsidR="00820B18">
      <w:rPr>
        <w:rStyle w:val="Seitenzahl"/>
        <w:noProof/>
      </w:rPr>
      <w:t>2</w:t>
    </w:r>
    <w:r w:rsidR="00FC1CDF">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E7DE8"/>
    <w:multiLevelType w:val="hybridMultilevel"/>
    <w:tmpl w:val="8FF2C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023B58"/>
    <w:multiLevelType w:val="hybridMultilevel"/>
    <w:tmpl w:val="AF2A5246"/>
    <w:lvl w:ilvl="0" w:tplc="2272B95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2D766CF"/>
    <w:multiLevelType w:val="hybridMultilevel"/>
    <w:tmpl w:val="E968BDC4"/>
    <w:lvl w:ilvl="0" w:tplc="8252EF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6"/>
  </w:num>
  <w:num w:numId="5">
    <w:abstractNumId w:val="7"/>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160EB"/>
    <w:rsid w:val="00022F3D"/>
    <w:rsid w:val="00060AE0"/>
    <w:rsid w:val="000647D4"/>
    <w:rsid w:val="000A1146"/>
    <w:rsid w:val="000B1121"/>
    <w:rsid w:val="000E5896"/>
    <w:rsid w:val="0011112B"/>
    <w:rsid w:val="00124DEF"/>
    <w:rsid w:val="001275F2"/>
    <w:rsid w:val="0014415D"/>
    <w:rsid w:val="00162DCD"/>
    <w:rsid w:val="00163034"/>
    <w:rsid w:val="00165C0D"/>
    <w:rsid w:val="00173463"/>
    <w:rsid w:val="00181857"/>
    <w:rsid w:val="00184EDC"/>
    <w:rsid w:val="001919E6"/>
    <w:rsid w:val="00194770"/>
    <w:rsid w:val="001A5F9B"/>
    <w:rsid w:val="001D17AA"/>
    <w:rsid w:val="001D54CB"/>
    <w:rsid w:val="001F7237"/>
    <w:rsid w:val="00224436"/>
    <w:rsid w:val="00235873"/>
    <w:rsid w:val="00261F51"/>
    <w:rsid w:val="00265DAA"/>
    <w:rsid w:val="002779E3"/>
    <w:rsid w:val="0028225B"/>
    <w:rsid w:val="002924CB"/>
    <w:rsid w:val="002A20D1"/>
    <w:rsid w:val="002B372F"/>
    <w:rsid w:val="002B5955"/>
    <w:rsid w:val="002F52C1"/>
    <w:rsid w:val="00301237"/>
    <w:rsid w:val="00311502"/>
    <w:rsid w:val="00341F1E"/>
    <w:rsid w:val="00345C9E"/>
    <w:rsid w:val="00346502"/>
    <w:rsid w:val="003769DC"/>
    <w:rsid w:val="00380937"/>
    <w:rsid w:val="00390559"/>
    <w:rsid w:val="003D7B0B"/>
    <w:rsid w:val="004047CC"/>
    <w:rsid w:val="00422024"/>
    <w:rsid w:val="004325F8"/>
    <w:rsid w:val="004505B0"/>
    <w:rsid w:val="00460DD3"/>
    <w:rsid w:val="00463042"/>
    <w:rsid w:val="0046762D"/>
    <w:rsid w:val="00470135"/>
    <w:rsid w:val="0047606A"/>
    <w:rsid w:val="004908B5"/>
    <w:rsid w:val="0049121B"/>
    <w:rsid w:val="004A1688"/>
    <w:rsid w:val="004B3AA4"/>
    <w:rsid w:val="004B6796"/>
    <w:rsid w:val="005006E0"/>
    <w:rsid w:val="0051087F"/>
    <w:rsid w:val="005364DC"/>
    <w:rsid w:val="005434DD"/>
    <w:rsid w:val="00566A23"/>
    <w:rsid w:val="0059239F"/>
    <w:rsid w:val="00596DF0"/>
    <w:rsid w:val="005A0A9D"/>
    <w:rsid w:val="005A56AA"/>
    <w:rsid w:val="005C0803"/>
    <w:rsid w:val="005D43F2"/>
    <w:rsid w:val="005D6222"/>
    <w:rsid w:val="005E103A"/>
    <w:rsid w:val="005E19C6"/>
    <w:rsid w:val="005F5B3D"/>
    <w:rsid w:val="00606F80"/>
    <w:rsid w:val="0065383D"/>
    <w:rsid w:val="00662565"/>
    <w:rsid w:val="0067174E"/>
    <w:rsid w:val="00695F7A"/>
    <w:rsid w:val="006A7700"/>
    <w:rsid w:val="006B3EC8"/>
    <w:rsid w:val="006B6D50"/>
    <w:rsid w:val="006E0575"/>
    <w:rsid w:val="00723D82"/>
    <w:rsid w:val="00750A86"/>
    <w:rsid w:val="00754659"/>
    <w:rsid w:val="007A29E4"/>
    <w:rsid w:val="007A6B10"/>
    <w:rsid w:val="007E3B79"/>
    <w:rsid w:val="007E5B1A"/>
    <w:rsid w:val="007F46CB"/>
    <w:rsid w:val="00805F18"/>
    <w:rsid w:val="008066EE"/>
    <w:rsid w:val="00817BB6"/>
    <w:rsid w:val="00820B18"/>
    <w:rsid w:val="00883CBE"/>
    <w:rsid w:val="00884D6C"/>
    <w:rsid w:val="008A0DAF"/>
    <w:rsid w:val="008A6853"/>
    <w:rsid w:val="008B3F45"/>
    <w:rsid w:val="00906404"/>
    <w:rsid w:val="009417E7"/>
    <w:rsid w:val="00976588"/>
    <w:rsid w:val="00977100"/>
    <w:rsid w:val="00990DDA"/>
    <w:rsid w:val="0099477C"/>
    <w:rsid w:val="00A03582"/>
    <w:rsid w:val="00A14257"/>
    <w:rsid w:val="00A27CA7"/>
    <w:rsid w:val="00A53D72"/>
    <w:rsid w:val="00A71D0A"/>
    <w:rsid w:val="00A77F1E"/>
    <w:rsid w:val="00AC041D"/>
    <w:rsid w:val="00AC07D1"/>
    <w:rsid w:val="00AD05FA"/>
    <w:rsid w:val="00AD24CC"/>
    <w:rsid w:val="00AD48F5"/>
    <w:rsid w:val="00AE046D"/>
    <w:rsid w:val="00AE3D20"/>
    <w:rsid w:val="00B04290"/>
    <w:rsid w:val="00B10E22"/>
    <w:rsid w:val="00B11187"/>
    <w:rsid w:val="00B43A9B"/>
    <w:rsid w:val="00B8031F"/>
    <w:rsid w:val="00B80DEF"/>
    <w:rsid w:val="00BB3429"/>
    <w:rsid w:val="00BC4669"/>
    <w:rsid w:val="00BF2B95"/>
    <w:rsid w:val="00C16EF1"/>
    <w:rsid w:val="00C448D3"/>
    <w:rsid w:val="00C5181A"/>
    <w:rsid w:val="00C5238B"/>
    <w:rsid w:val="00C76F3D"/>
    <w:rsid w:val="00CA321E"/>
    <w:rsid w:val="00CD7322"/>
    <w:rsid w:val="00CF0309"/>
    <w:rsid w:val="00D00514"/>
    <w:rsid w:val="00D142F6"/>
    <w:rsid w:val="00D30048"/>
    <w:rsid w:val="00D461B9"/>
    <w:rsid w:val="00D541F0"/>
    <w:rsid w:val="00D96564"/>
    <w:rsid w:val="00DB3D6C"/>
    <w:rsid w:val="00DB5BCF"/>
    <w:rsid w:val="00E014B6"/>
    <w:rsid w:val="00E1162F"/>
    <w:rsid w:val="00E11D5F"/>
    <w:rsid w:val="00E20E1F"/>
    <w:rsid w:val="00E31BAA"/>
    <w:rsid w:val="00E354F2"/>
    <w:rsid w:val="00E55030"/>
    <w:rsid w:val="00E70A1D"/>
    <w:rsid w:val="00E7118F"/>
    <w:rsid w:val="00F214E0"/>
    <w:rsid w:val="00F27657"/>
    <w:rsid w:val="00F33301"/>
    <w:rsid w:val="00F342DC"/>
    <w:rsid w:val="00F63041"/>
    <w:rsid w:val="00F76452"/>
    <w:rsid w:val="00F902CF"/>
    <w:rsid w:val="00FB0D10"/>
    <w:rsid w:val="00FB2A0E"/>
    <w:rsid w:val="00FC1BCB"/>
    <w:rsid w:val="00FC1CDF"/>
    <w:rsid w:val="00FC78CA"/>
    <w:rsid w:val="00FD3702"/>
    <w:rsid w:val="00FD6B46"/>
    <w:rsid w:val="00FE5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D1D2A"/>
  <w15:docId w15:val="{CB5948F9-0024-4733-B3C2-5C856B19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0160EB"/>
    <w:pPr>
      <w:keepNext/>
      <w:spacing w:before="240" w:after="60"/>
      <w:outlineLvl w:val="2"/>
    </w:pPr>
    <w:rPr>
      <w:b/>
    </w:rPr>
  </w:style>
  <w:style w:type="paragraph" w:styleId="berschrift4">
    <w:name w:val="heading 4"/>
    <w:basedOn w:val="Standard"/>
    <w:next w:val="Standard"/>
    <w:qFormat/>
    <w:rsid w:val="000160EB"/>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60EB"/>
    <w:rPr>
      <w:sz w:val="16"/>
    </w:rPr>
  </w:style>
  <w:style w:type="paragraph" w:styleId="Kommentartext">
    <w:name w:val="annotation text"/>
    <w:basedOn w:val="Standard"/>
    <w:semiHidden/>
    <w:rsid w:val="000160EB"/>
    <w:rPr>
      <w:sz w:val="20"/>
    </w:rPr>
  </w:style>
  <w:style w:type="paragraph" w:styleId="Fuzeile">
    <w:name w:val="footer"/>
    <w:basedOn w:val="Standard"/>
    <w:rsid w:val="000160EB"/>
    <w:pPr>
      <w:tabs>
        <w:tab w:val="center" w:pos="4819"/>
        <w:tab w:val="right" w:pos="9071"/>
      </w:tabs>
    </w:pPr>
  </w:style>
  <w:style w:type="paragraph" w:styleId="Kopfzeile">
    <w:name w:val="header"/>
    <w:basedOn w:val="Standard"/>
    <w:rsid w:val="000160EB"/>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D0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47D4"/>
    <w:pPr>
      <w:ind w:left="720"/>
      <w:contextualSpacing/>
    </w:pPr>
    <w:rPr>
      <w:rFonts w:eastAsiaTheme="minorEastAsia" w:cs="Arial"/>
      <w:sz w:val="22"/>
      <w:szCs w:val="22"/>
    </w:rPr>
  </w:style>
  <w:style w:type="character" w:customStyle="1" w:styleId="CharacterStyle1">
    <w:name w:val="Character Style 1"/>
    <w:rsid w:val="00FB0D1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8FDA898B.dotm</Template>
  <TotalTime>0</TotalTime>
  <Pages>2</Pages>
  <Words>286</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7</cp:revision>
  <cp:lastPrinted>2018-11-12T08:12:00Z</cp:lastPrinted>
  <dcterms:created xsi:type="dcterms:W3CDTF">2018-11-09T08:21:00Z</dcterms:created>
  <dcterms:modified xsi:type="dcterms:W3CDTF">2018-11-12T08:12:00Z</dcterms:modified>
</cp:coreProperties>
</file>