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10B5" w14:textId="033AFC4A" w:rsidR="003D7B0B" w:rsidRDefault="003D7B0B" w:rsidP="00D15184">
      <w:pPr>
        <w:jc w:val="right"/>
      </w:pPr>
      <w:r w:rsidRPr="006E0575">
        <w:t xml:space="preserve">Anlage </w:t>
      </w:r>
      <w:r w:rsidR="00F81AF7">
        <w:t>14</w:t>
      </w:r>
      <w:r w:rsidRPr="006E0575">
        <w:t xml:space="preserve"> zur GRDrs </w:t>
      </w:r>
      <w:r w:rsidR="00F81AF7">
        <w:t>705</w:t>
      </w:r>
      <w:r w:rsidR="00891246">
        <w:t>/20</w:t>
      </w:r>
      <w:r w:rsidR="006B7225">
        <w:t>21</w:t>
      </w:r>
    </w:p>
    <w:p w14:paraId="66D209AB" w14:textId="77777777" w:rsidR="002C00C7" w:rsidRPr="006E0575" w:rsidRDefault="002C00C7" w:rsidP="00D15184">
      <w:pPr>
        <w:jc w:val="right"/>
      </w:pPr>
    </w:p>
    <w:p w14:paraId="4D8FADF2" w14:textId="77777777" w:rsidR="003D7B0B" w:rsidRPr="006E0575" w:rsidRDefault="003D7B0B" w:rsidP="006E0575"/>
    <w:p w14:paraId="1C10ED9D" w14:textId="77777777" w:rsidR="003D7B0B" w:rsidRPr="006E0575" w:rsidRDefault="003D7B0B" w:rsidP="006E0575"/>
    <w:p w14:paraId="50786B90" w14:textId="3FB55CF7" w:rsidR="003D7B0B" w:rsidRPr="00796600" w:rsidRDefault="00B8514C" w:rsidP="00D15184">
      <w:pPr>
        <w:pStyle w:val="berschrift1"/>
        <w:tabs>
          <w:tab w:val="clear" w:pos="6521"/>
        </w:tabs>
      </w:pPr>
      <w:r>
        <w:t>Verlängerung</w:t>
      </w:r>
      <w:r w:rsidR="00FF2DC9" w:rsidRPr="00796600">
        <w:t xml:space="preserve"> </w:t>
      </w:r>
      <w:r>
        <w:t xml:space="preserve">von </w:t>
      </w:r>
      <w:r w:rsidR="00A34898" w:rsidRPr="00796600">
        <w:t>Stellen</w:t>
      </w:r>
      <w:r w:rsidR="00FF2DC9" w:rsidRPr="00796600">
        <w:t>vermerk</w:t>
      </w:r>
      <w:r>
        <w:t>en</w:t>
      </w:r>
      <w:r w:rsidR="003D7B0B" w:rsidRPr="00796600">
        <w:t xml:space="preserve"> </w:t>
      </w:r>
      <w:r w:rsidR="00A34898" w:rsidRPr="00796600">
        <w:br/>
      </w:r>
      <w:r w:rsidR="007B5FE2" w:rsidRPr="003A7A41">
        <w:t>zum</w:t>
      </w:r>
      <w:r w:rsidR="003D7B0B" w:rsidRPr="003A7A41">
        <w:t xml:space="preserve"> Stellenplan 20</w:t>
      </w:r>
      <w:r w:rsidR="00E37194">
        <w:t>2</w:t>
      </w:r>
      <w:r w:rsidR="00700CF5">
        <w:t>2</w:t>
      </w:r>
    </w:p>
    <w:p w14:paraId="36C350C0" w14:textId="77777777" w:rsidR="003D7B0B" w:rsidRDefault="003D7B0B" w:rsidP="006E0575"/>
    <w:p w14:paraId="7DFD9CA1" w14:textId="77777777"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14:paraId="52B8DFB2" w14:textId="77777777" w:rsidTr="00D44A99">
        <w:trPr>
          <w:tblHeader/>
        </w:trPr>
        <w:tc>
          <w:tcPr>
            <w:tcW w:w="1814" w:type="dxa"/>
            <w:shd w:val="pct12" w:color="auto" w:fill="FFFFFF"/>
          </w:tcPr>
          <w:p w14:paraId="056EC640" w14:textId="77777777"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14:paraId="05B83F2C" w14:textId="77777777"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14:paraId="085C3E20" w14:textId="77777777"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14:paraId="55C7FB82" w14:textId="77777777" w:rsidR="00CE7D5B" w:rsidRDefault="007B5FE2" w:rsidP="00361333">
            <w:pPr>
              <w:spacing w:before="120" w:after="120" w:line="200" w:lineRule="exact"/>
              <w:ind w:right="-85"/>
              <w:rPr>
                <w:sz w:val="16"/>
                <w:szCs w:val="16"/>
              </w:rPr>
            </w:pPr>
            <w:r>
              <w:rPr>
                <w:sz w:val="16"/>
                <w:szCs w:val="16"/>
              </w:rPr>
              <w:t>BesGr.</w:t>
            </w:r>
          </w:p>
          <w:p w14:paraId="740898AB" w14:textId="77777777" w:rsidR="00CE7D5B" w:rsidRDefault="007B5FE2" w:rsidP="00361333">
            <w:pPr>
              <w:spacing w:before="120" w:after="120" w:line="200" w:lineRule="exact"/>
              <w:ind w:right="-85"/>
              <w:rPr>
                <w:sz w:val="16"/>
                <w:szCs w:val="16"/>
              </w:rPr>
            </w:pPr>
            <w:r>
              <w:rPr>
                <w:sz w:val="16"/>
                <w:szCs w:val="16"/>
              </w:rPr>
              <w:t>oder</w:t>
            </w:r>
          </w:p>
          <w:p w14:paraId="08D5CE49" w14:textId="77777777"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14:paraId="0D578B3B" w14:textId="77777777"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14:paraId="72851F90" w14:textId="77777777"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2AB1B5D0" w14:textId="77777777" w:rsidR="00891246" w:rsidRDefault="00891246" w:rsidP="00361333">
            <w:pPr>
              <w:spacing w:before="120" w:after="120" w:line="200" w:lineRule="exact"/>
              <w:ind w:right="-85"/>
              <w:rPr>
                <w:sz w:val="16"/>
                <w:szCs w:val="16"/>
              </w:rPr>
            </w:pPr>
            <w:r w:rsidRPr="006E0575">
              <w:rPr>
                <w:sz w:val="16"/>
                <w:szCs w:val="16"/>
              </w:rPr>
              <w:t>Stellen-</w:t>
            </w:r>
            <w:r w:rsidRPr="006E0575">
              <w:rPr>
                <w:sz w:val="16"/>
                <w:szCs w:val="16"/>
              </w:rPr>
              <w:br/>
              <w:t>vermerk</w:t>
            </w:r>
          </w:p>
          <w:p w14:paraId="7E98B16B" w14:textId="1C916F94" w:rsidR="00500248" w:rsidRDefault="00500248" w:rsidP="00361333">
            <w:pPr>
              <w:spacing w:before="120" w:after="120" w:line="200" w:lineRule="exact"/>
              <w:ind w:right="-85"/>
              <w:rPr>
                <w:sz w:val="16"/>
                <w:szCs w:val="16"/>
              </w:rPr>
            </w:pPr>
            <w:r>
              <w:rPr>
                <w:sz w:val="16"/>
                <w:szCs w:val="16"/>
              </w:rPr>
              <w:t>bisher</w:t>
            </w:r>
          </w:p>
          <w:p w14:paraId="7818BBF0" w14:textId="37E2FE67" w:rsidR="00500248" w:rsidRPr="00500248" w:rsidRDefault="00500248" w:rsidP="00361333">
            <w:pPr>
              <w:spacing w:before="120" w:after="120" w:line="200" w:lineRule="exact"/>
              <w:ind w:right="-85"/>
              <w:rPr>
                <w:b/>
                <w:sz w:val="16"/>
                <w:szCs w:val="16"/>
              </w:rPr>
            </w:pPr>
            <w:r w:rsidRPr="00500248">
              <w:rPr>
                <w:b/>
                <w:sz w:val="16"/>
                <w:szCs w:val="16"/>
              </w:rPr>
              <w:t>neu</w:t>
            </w:r>
          </w:p>
        </w:tc>
        <w:tc>
          <w:tcPr>
            <w:tcW w:w="1417" w:type="dxa"/>
            <w:shd w:val="pct12" w:color="auto" w:fill="FFFFFF"/>
          </w:tcPr>
          <w:p w14:paraId="67EEE44A" w14:textId="77777777"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6B7225" w:rsidRPr="003A03B8" w14:paraId="532D24A4" w14:textId="77777777" w:rsidTr="00D44A99">
        <w:tc>
          <w:tcPr>
            <w:tcW w:w="1814" w:type="dxa"/>
          </w:tcPr>
          <w:p w14:paraId="196A9053" w14:textId="42DB534D" w:rsidR="006B7225" w:rsidRPr="003A03B8" w:rsidRDefault="006B7225" w:rsidP="006B7225">
            <w:pPr>
              <w:rPr>
                <w:sz w:val="20"/>
                <w:szCs w:val="20"/>
              </w:rPr>
            </w:pPr>
          </w:p>
          <w:p w14:paraId="282F7FC5" w14:textId="59BC7C65" w:rsidR="006B7225" w:rsidRDefault="006B7225" w:rsidP="006B7225">
            <w:pPr>
              <w:rPr>
                <w:sz w:val="20"/>
                <w:szCs w:val="20"/>
              </w:rPr>
            </w:pPr>
            <w:r w:rsidRPr="003A03B8">
              <w:rPr>
                <w:sz w:val="20"/>
                <w:szCs w:val="20"/>
              </w:rPr>
              <w:t>290</w:t>
            </w:r>
            <w:r w:rsidR="003A03B8" w:rsidRPr="003A03B8">
              <w:rPr>
                <w:sz w:val="20"/>
                <w:szCs w:val="20"/>
              </w:rPr>
              <w:t>.</w:t>
            </w:r>
            <w:r w:rsidRPr="003A03B8">
              <w:rPr>
                <w:sz w:val="20"/>
                <w:szCs w:val="20"/>
              </w:rPr>
              <w:t>0300</w:t>
            </w:r>
            <w:r w:rsidR="003A03B8" w:rsidRPr="003A03B8">
              <w:rPr>
                <w:sz w:val="20"/>
                <w:szCs w:val="20"/>
              </w:rPr>
              <w:t>.</w:t>
            </w:r>
            <w:r w:rsidRPr="003A03B8">
              <w:rPr>
                <w:sz w:val="20"/>
                <w:szCs w:val="20"/>
              </w:rPr>
              <w:t>180</w:t>
            </w:r>
          </w:p>
          <w:p w14:paraId="08ED4EA5" w14:textId="77777777" w:rsidR="00F81AF7" w:rsidRPr="003A03B8" w:rsidRDefault="00F81AF7" w:rsidP="006B7225">
            <w:pPr>
              <w:rPr>
                <w:sz w:val="20"/>
                <w:szCs w:val="20"/>
              </w:rPr>
            </w:pPr>
          </w:p>
          <w:p w14:paraId="41456436" w14:textId="288D6D98" w:rsidR="006B7225" w:rsidRPr="003A03B8" w:rsidRDefault="003A03B8" w:rsidP="006B7225">
            <w:pPr>
              <w:rPr>
                <w:sz w:val="20"/>
                <w:szCs w:val="20"/>
              </w:rPr>
            </w:pPr>
            <w:r w:rsidRPr="003A03B8">
              <w:rPr>
                <w:sz w:val="20"/>
                <w:szCs w:val="20"/>
              </w:rPr>
              <w:t>290.</w:t>
            </w:r>
            <w:r w:rsidR="006B7225" w:rsidRPr="003A03B8">
              <w:rPr>
                <w:sz w:val="20"/>
                <w:szCs w:val="20"/>
              </w:rPr>
              <w:t>0300</w:t>
            </w:r>
            <w:r w:rsidRPr="003A03B8">
              <w:rPr>
                <w:sz w:val="20"/>
                <w:szCs w:val="20"/>
              </w:rPr>
              <w:t>.</w:t>
            </w:r>
            <w:r w:rsidR="006B7225" w:rsidRPr="003A03B8">
              <w:rPr>
                <w:sz w:val="20"/>
                <w:szCs w:val="20"/>
              </w:rPr>
              <w:t>190</w:t>
            </w:r>
          </w:p>
          <w:p w14:paraId="1E223593" w14:textId="77777777" w:rsidR="006B7225" w:rsidRPr="003A03B8" w:rsidRDefault="006B7225" w:rsidP="006B7225">
            <w:pPr>
              <w:rPr>
                <w:sz w:val="20"/>
                <w:szCs w:val="20"/>
              </w:rPr>
            </w:pPr>
          </w:p>
          <w:p w14:paraId="216E0698" w14:textId="4F681CCD" w:rsidR="006B7225" w:rsidRPr="003A03B8" w:rsidRDefault="006B7225" w:rsidP="006B7225">
            <w:pPr>
              <w:rPr>
                <w:sz w:val="20"/>
                <w:szCs w:val="20"/>
              </w:rPr>
            </w:pPr>
            <w:r w:rsidRPr="003A03B8">
              <w:rPr>
                <w:sz w:val="20"/>
                <w:szCs w:val="20"/>
              </w:rPr>
              <w:t>2910</w:t>
            </w:r>
            <w:r w:rsidR="003A03B8" w:rsidRPr="003A03B8">
              <w:rPr>
                <w:sz w:val="20"/>
                <w:szCs w:val="20"/>
              </w:rPr>
              <w:t xml:space="preserve"> </w:t>
            </w:r>
            <w:r w:rsidRPr="003A03B8">
              <w:rPr>
                <w:sz w:val="20"/>
                <w:szCs w:val="20"/>
              </w:rPr>
              <w:t>5932</w:t>
            </w:r>
          </w:p>
        </w:tc>
        <w:tc>
          <w:tcPr>
            <w:tcW w:w="1701" w:type="dxa"/>
          </w:tcPr>
          <w:p w14:paraId="14FFC5EB" w14:textId="77777777" w:rsidR="006B7225" w:rsidRPr="003A03B8" w:rsidRDefault="006B7225" w:rsidP="006B7225">
            <w:pPr>
              <w:rPr>
                <w:sz w:val="20"/>
                <w:szCs w:val="20"/>
              </w:rPr>
            </w:pPr>
          </w:p>
          <w:p w14:paraId="335893E6" w14:textId="54B218A4" w:rsidR="006B7225" w:rsidRPr="003A03B8" w:rsidRDefault="006B7225" w:rsidP="006B7225">
            <w:pPr>
              <w:rPr>
                <w:rFonts w:cs="Arial"/>
                <w:sz w:val="20"/>
                <w:szCs w:val="20"/>
              </w:rPr>
            </w:pPr>
            <w:r w:rsidRPr="003A03B8">
              <w:rPr>
                <w:rFonts w:cs="Arial"/>
                <w:sz w:val="20"/>
                <w:szCs w:val="20"/>
              </w:rPr>
              <w:t>Jobcenter</w:t>
            </w:r>
          </w:p>
          <w:p w14:paraId="682EBBFD" w14:textId="77777777" w:rsidR="006B7225" w:rsidRPr="003A03B8" w:rsidRDefault="006B7225" w:rsidP="006B7225">
            <w:pPr>
              <w:rPr>
                <w:rFonts w:cs="Arial"/>
                <w:sz w:val="20"/>
                <w:szCs w:val="20"/>
              </w:rPr>
            </w:pPr>
          </w:p>
          <w:p w14:paraId="63EEC627" w14:textId="4BF471CD" w:rsidR="006B7225" w:rsidRPr="003A03B8" w:rsidRDefault="006B7225" w:rsidP="006B7225">
            <w:pPr>
              <w:rPr>
                <w:sz w:val="20"/>
                <w:szCs w:val="20"/>
              </w:rPr>
            </w:pPr>
          </w:p>
        </w:tc>
        <w:tc>
          <w:tcPr>
            <w:tcW w:w="794" w:type="dxa"/>
          </w:tcPr>
          <w:p w14:paraId="5A34BFED" w14:textId="77777777" w:rsidR="006B7225" w:rsidRPr="003A03B8" w:rsidRDefault="006B7225" w:rsidP="006B7225">
            <w:pPr>
              <w:rPr>
                <w:sz w:val="20"/>
                <w:szCs w:val="20"/>
              </w:rPr>
            </w:pPr>
          </w:p>
          <w:p w14:paraId="12EEC66B" w14:textId="77777777" w:rsidR="006B7225" w:rsidRDefault="006B7225" w:rsidP="006B7225">
            <w:pPr>
              <w:rPr>
                <w:rFonts w:cs="Arial"/>
                <w:sz w:val="20"/>
                <w:szCs w:val="20"/>
              </w:rPr>
            </w:pPr>
            <w:r w:rsidRPr="003A03B8">
              <w:rPr>
                <w:rFonts w:cs="Arial"/>
                <w:sz w:val="20"/>
                <w:szCs w:val="20"/>
              </w:rPr>
              <w:t>EG 10</w:t>
            </w:r>
          </w:p>
          <w:p w14:paraId="6D3EC35C" w14:textId="77777777" w:rsidR="00F81AF7" w:rsidRDefault="00F81AF7" w:rsidP="006B7225">
            <w:pPr>
              <w:rPr>
                <w:rFonts w:cs="Arial"/>
                <w:sz w:val="20"/>
                <w:szCs w:val="20"/>
              </w:rPr>
            </w:pPr>
          </w:p>
          <w:p w14:paraId="34B3C74E" w14:textId="0748B819" w:rsidR="00F81AF7" w:rsidRPr="003A03B8" w:rsidRDefault="00F81AF7" w:rsidP="006B7225">
            <w:pPr>
              <w:rPr>
                <w:sz w:val="20"/>
                <w:szCs w:val="20"/>
              </w:rPr>
            </w:pPr>
            <w:r>
              <w:rPr>
                <w:rFonts w:cs="Arial"/>
                <w:sz w:val="20"/>
                <w:szCs w:val="20"/>
              </w:rPr>
              <w:t>EG 10</w:t>
            </w:r>
          </w:p>
        </w:tc>
        <w:tc>
          <w:tcPr>
            <w:tcW w:w="1928" w:type="dxa"/>
          </w:tcPr>
          <w:p w14:paraId="6FF1DDDD" w14:textId="77777777" w:rsidR="006B7225" w:rsidRPr="003A03B8" w:rsidRDefault="006B7225" w:rsidP="006B7225">
            <w:pPr>
              <w:rPr>
                <w:sz w:val="20"/>
                <w:szCs w:val="20"/>
              </w:rPr>
            </w:pPr>
          </w:p>
          <w:p w14:paraId="2CD96205" w14:textId="4DDF5E5A" w:rsidR="006B7225" w:rsidRPr="003A03B8" w:rsidRDefault="006B7225" w:rsidP="006B7225">
            <w:pPr>
              <w:rPr>
                <w:sz w:val="20"/>
                <w:szCs w:val="20"/>
              </w:rPr>
            </w:pPr>
            <w:r w:rsidRPr="003A03B8">
              <w:rPr>
                <w:sz w:val="20"/>
                <w:szCs w:val="20"/>
              </w:rPr>
              <w:t xml:space="preserve">Integrationsfachkraft </w:t>
            </w:r>
          </w:p>
          <w:p w14:paraId="2A9221AD" w14:textId="3B502AEB" w:rsidR="006B7225" w:rsidRPr="003A03B8" w:rsidRDefault="00F91500" w:rsidP="006B7225">
            <w:pPr>
              <w:rPr>
                <w:sz w:val="20"/>
                <w:szCs w:val="20"/>
              </w:rPr>
            </w:pPr>
            <w:r w:rsidRPr="003A03B8">
              <w:rPr>
                <w:rFonts w:cs="Arial"/>
                <w:sz w:val="20"/>
                <w:szCs w:val="20"/>
              </w:rPr>
              <w:t>– Schwerpunkt Integration von Flüchtlingen</w:t>
            </w:r>
          </w:p>
        </w:tc>
        <w:tc>
          <w:tcPr>
            <w:tcW w:w="737" w:type="dxa"/>
            <w:shd w:val="pct12" w:color="auto" w:fill="FFFFFF"/>
          </w:tcPr>
          <w:p w14:paraId="4322A4BE" w14:textId="77777777" w:rsidR="006B7225" w:rsidRPr="003A03B8" w:rsidRDefault="006B7225" w:rsidP="006B7225">
            <w:pPr>
              <w:rPr>
                <w:sz w:val="20"/>
                <w:szCs w:val="20"/>
              </w:rPr>
            </w:pPr>
          </w:p>
          <w:p w14:paraId="7C17753A" w14:textId="77777777" w:rsidR="006B7225" w:rsidRDefault="003A03B8" w:rsidP="006B7225">
            <w:pPr>
              <w:rPr>
                <w:sz w:val="20"/>
                <w:szCs w:val="20"/>
              </w:rPr>
            </w:pPr>
            <w:r>
              <w:rPr>
                <w:sz w:val="20"/>
                <w:szCs w:val="20"/>
              </w:rPr>
              <w:t>1</w:t>
            </w:r>
            <w:r w:rsidR="006B7225" w:rsidRPr="003A03B8">
              <w:rPr>
                <w:sz w:val="20"/>
                <w:szCs w:val="20"/>
              </w:rPr>
              <w:t>,00</w:t>
            </w:r>
          </w:p>
          <w:p w14:paraId="0BCB4E15" w14:textId="77777777" w:rsidR="00F81AF7" w:rsidRDefault="00F81AF7" w:rsidP="006B7225">
            <w:pPr>
              <w:rPr>
                <w:sz w:val="20"/>
                <w:szCs w:val="20"/>
              </w:rPr>
            </w:pPr>
          </w:p>
          <w:p w14:paraId="2316DE06" w14:textId="2AF92CBB" w:rsidR="003A03B8" w:rsidRPr="003A03B8" w:rsidRDefault="003A03B8" w:rsidP="006B7225">
            <w:pPr>
              <w:rPr>
                <w:sz w:val="20"/>
                <w:szCs w:val="20"/>
              </w:rPr>
            </w:pPr>
            <w:r>
              <w:rPr>
                <w:sz w:val="20"/>
                <w:szCs w:val="20"/>
              </w:rPr>
              <w:t>1,00</w:t>
            </w:r>
          </w:p>
        </w:tc>
        <w:tc>
          <w:tcPr>
            <w:tcW w:w="1134" w:type="dxa"/>
          </w:tcPr>
          <w:p w14:paraId="523D2376" w14:textId="77777777" w:rsidR="006B7225" w:rsidRPr="003A03B8" w:rsidRDefault="006B7225" w:rsidP="006B7225">
            <w:pPr>
              <w:rPr>
                <w:sz w:val="20"/>
                <w:szCs w:val="20"/>
              </w:rPr>
            </w:pPr>
          </w:p>
          <w:p w14:paraId="0E86542A" w14:textId="5F00B733" w:rsidR="006B7225" w:rsidRPr="003A03B8" w:rsidRDefault="006B7225" w:rsidP="006B7225">
            <w:pPr>
              <w:rPr>
                <w:rFonts w:cs="Arial"/>
                <w:sz w:val="20"/>
                <w:szCs w:val="20"/>
              </w:rPr>
            </w:pPr>
            <w:r w:rsidRPr="003A03B8">
              <w:rPr>
                <w:rFonts w:cs="Arial"/>
                <w:sz w:val="20"/>
                <w:szCs w:val="20"/>
              </w:rPr>
              <w:t>KW 01/2022</w:t>
            </w:r>
          </w:p>
          <w:p w14:paraId="5257911E" w14:textId="77777777" w:rsidR="006B7225" w:rsidRPr="003A03B8" w:rsidRDefault="006B7225" w:rsidP="006B7225">
            <w:pPr>
              <w:rPr>
                <w:rFonts w:cs="Arial"/>
                <w:sz w:val="20"/>
                <w:szCs w:val="20"/>
              </w:rPr>
            </w:pPr>
          </w:p>
          <w:p w14:paraId="10E11368" w14:textId="77777777" w:rsidR="001F1C09" w:rsidRPr="003A03B8" w:rsidRDefault="006B7225" w:rsidP="006B7225">
            <w:pPr>
              <w:rPr>
                <w:rFonts w:cs="Arial"/>
                <w:b/>
                <w:sz w:val="20"/>
                <w:szCs w:val="20"/>
              </w:rPr>
            </w:pPr>
            <w:r w:rsidRPr="003A03B8">
              <w:rPr>
                <w:rFonts w:cs="Arial"/>
                <w:b/>
                <w:sz w:val="20"/>
                <w:szCs w:val="20"/>
              </w:rPr>
              <w:t>KW</w:t>
            </w:r>
          </w:p>
          <w:p w14:paraId="0322697F" w14:textId="44953EAD" w:rsidR="006B7225" w:rsidRPr="003A03B8" w:rsidRDefault="001F1C09" w:rsidP="006B7225">
            <w:pPr>
              <w:rPr>
                <w:rFonts w:cs="Arial"/>
                <w:b/>
                <w:sz w:val="20"/>
                <w:szCs w:val="20"/>
              </w:rPr>
            </w:pPr>
            <w:r w:rsidRPr="003A03B8">
              <w:rPr>
                <w:rFonts w:cs="Arial"/>
                <w:b/>
                <w:sz w:val="20"/>
                <w:szCs w:val="20"/>
              </w:rPr>
              <w:t>01/2024</w:t>
            </w:r>
          </w:p>
          <w:p w14:paraId="06AF2A4D" w14:textId="3B193CC5" w:rsidR="006B7225" w:rsidRPr="003A03B8" w:rsidRDefault="006B7225" w:rsidP="006B7225">
            <w:pPr>
              <w:rPr>
                <w:rFonts w:cs="Arial"/>
                <w:sz w:val="20"/>
                <w:szCs w:val="20"/>
              </w:rPr>
            </w:pPr>
          </w:p>
        </w:tc>
        <w:tc>
          <w:tcPr>
            <w:tcW w:w="1417" w:type="dxa"/>
          </w:tcPr>
          <w:p w14:paraId="08F66DFE" w14:textId="77777777" w:rsidR="006B7225" w:rsidRPr="003A03B8" w:rsidRDefault="006B7225" w:rsidP="006B7225">
            <w:pPr>
              <w:rPr>
                <w:sz w:val="20"/>
                <w:szCs w:val="20"/>
              </w:rPr>
            </w:pPr>
          </w:p>
          <w:p w14:paraId="70E66E94" w14:textId="04002B87" w:rsidR="006B7225" w:rsidRPr="003A03B8" w:rsidRDefault="006B7225" w:rsidP="006B7225">
            <w:pPr>
              <w:rPr>
                <w:sz w:val="20"/>
                <w:szCs w:val="20"/>
              </w:rPr>
            </w:pPr>
            <w:bookmarkStart w:id="0" w:name="_GoBack"/>
            <w:bookmarkEnd w:id="0"/>
            <w:r w:rsidRPr="003A03B8">
              <w:rPr>
                <w:sz w:val="20"/>
                <w:szCs w:val="20"/>
              </w:rPr>
              <w:t>*)</w:t>
            </w:r>
          </w:p>
        </w:tc>
      </w:tr>
    </w:tbl>
    <w:p w14:paraId="3A059D72" w14:textId="3372AB8E" w:rsidR="002C7F4B" w:rsidRDefault="004808CA" w:rsidP="00694161">
      <w:pPr>
        <w:rPr>
          <w:rFonts w:ascii="Helv" w:hAnsi="Helv" w:cs="Helv"/>
          <w:color w:val="000000"/>
          <w:kern w:val="24"/>
          <w:sz w:val="16"/>
          <w:szCs w:val="16"/>
        </w:rPr>
      </w:pPr>
      <w:r w:rsidRPr="002C7F4B">
        <w:rPr>
          <w:b/>
          <w:kern w:val="24"/>
          <w:sz w:val="16"/>
          <w:szCs w:val="16"/>
        </w:rPr>
        <w:t>*)</w:t>
      </w:r>
      <w:r>
        <w:rPr>
          <w:b/>
          <w:kern w:val="24"/>
          <w:sz w:val="16"/>
          <w:szCs w:val="16"/>
        </w:rPr>
        <w:t xml:space="preserve"> </w:t>
      </w:r>
      <w:r>
        <w:rPr>
          <w:rFonts w:ascii="Helv" w:hAnsi="Helv" w:cs="Helv"/>
          <w:color w:val="000000"/>
          <w:kern w:val="24"/>
          <w:sz w:val="20"/>
        </w:rPr>
        <w:t xml:space="preserve">  </w:t>
      </w:r>
      <w:r w:rsidR="00D44A99" w:rsidRPr="00E106D0">
        <w:rPr>
          <w:rFonts w:ascii="Helv" w:hAnsi="Helv" w:cs="Helv"/>
          <w:color w:val="000000"/>
          <w:kern w:val="24"/>
          <w:sz w:val="16"/>
          <w:szCs w:val="16"/>
        </w:rPr>
        <w:t>Gemäß Kommunalträger-Abrechnungsverwaltungsvorschrift (</w:t>
      </w:r>
      <w:proofErr w:type="spellStart"/>
      <w:r w:rsidR="00D44A99" w:rsidRPr="00E106D0">
        <w:rPr>
          <w:rFonts w:ascii="Helv" w:hAnsi="Helv" w:cs="Helv"/>
          <w:color w:val="000000"/>
          <w:kern w:val="24"/>
          <w:sz w:val="16"/>
          <w:szCs w:val="16"/>
        </w:rPr>
        <w:t>KoA</w:t>
      </w:r>
      <w:proofErr w:type="spellEnd"/>
      <w:r w:rsidR="00D44A99" w:rsidRPr="00E106D0">
        <w:rPr>
          <w:rFonts w:ascii="Helv" w:hAnsi="Helv" w:cs="Helv"/>
          <w:color w:val="000000"/>
          <w:kern w:val="24"/>
          <w:sz w:val="16"/>
          <w:szCs w:val="16"/>
        </w:rPr>
        <w:t xml:space="preserve">-VV) erfolgt die Abrechnung der Personalkosten operativer </w:t>
      </w:r>
      <w:r w:rsidR="002C7F4B">
        <w:rPr>
          <w:rFonts w:ascii="Helv" w:hAnsi="Helv" w:cs="Helv"/>
          <w:color w:val="000000"/>
          <w:kern w:val="24"/>
          <w:sz w:val="16"/>
          <w:szCs w:val="16"/>
        </w:rPr>
        <w:t xml:space="preserve">  </w:t>
      </w:r>
    </w:p>
    <w:p w14:paraId="60708AE0" w14:textId="5A6E9FAA" w:rsidR="002C7F4B" w:rsidRDefault="002C7F4B" w:rsidP="00694161">
      <w:pPr>
        <w:rPr>
          <w:rFonts w:ascii="Helv" w:hAnsi="Helv" w:cs="Helv"/>
          <w:color w:val="000000"/>
          <w:kern w:val="24"/>
          <w:sz w:val="16"/>
          <w:szCs w:val="16"/>
        </w:rPr>
      </w:pPr>
      <w:r>
        <w:rPr>
          <w:rFonts w:ascii="Helv" w:hAnsi="Helv" w:cs="Helv"/>
          <w:color w:val="000000"/>
          <w:kern w:val="24"/>
          <w:sz w:val="16"/>
          <w:szCs w:val="16"/>
        </w:rPr>
        <w:t xml:space="preserve">       </w:t>
      </w:r>
      <w:r w:rsidR="00D44A99" w:rsidRPr="00E106D0">
        <w:rPr>
          <w:rFonts w:ascii="Helv" w:hAnsi="Helv" w:cs="Helv"/>
          <w:color w:val="000000"/>
          <w:kern w:val="24"/>
          <w:sz w:val="16"/>
          <w:szCs w:val="16"/>
        </w:rPr>
        <w:t xml:space="preserve">Stellen mit dem Bund spitz, für die Personalneben-, Sach- und Gemeinkosten werden Pauschalen zugrunde gelegt. Der Anteil </w:t>
      </w:r>
      <w:r>
        <w:rPr>
          <w:rFonts w:ascii="Helv" w:hAnsi="Helv" w:cs="Helv"/>
          <w:color w:val="000000"/>
          <w:kern w:val="24"/>
          <w:sz w:val="16"/>
          <w:szCs w:val="16"/>
        </w:rPr>
        <w:t xml:space="preserve">   </w:t>
      </w:r>
    </w:p>
    <w:p w14:paraId="53FD0801" w14:textId="60F021C2" w:rsidR="002C7F4B" w:rsidRDefault="002C7F4B" w:rsidP="00694161">
      <w:pPr>
        <w:rPr>
          <w:rFonts w:ascii="Helv" w:hAnsi="Helv" w:cs="Helv"/>
          <w:color w:val="000000"/>
          <w:kern w:val="24"/>
          <w:sz w:val="16"/>
          <w:szCs w:val="16"/>
        </w:rPr>
      </w:pPr>
      <w:r>
        <w:rPr>
          <w:rFonts w:ascii="Helv" w:hAnsi="Helv" w:cs="Helv"/>
          <w:color w:val="000000"/>
          <w:kern w:val="24"/>
          <w:sz w:val="16"/>
          <w:szCs w:val="16"/>
        </w:rPr>
        <w:t xml:space="preserve">       </w:t>
      </w:r>
      <w:r w:rsidR="00D44A99" w:rsidRPr="00E106D0">
        <w:rPr>
          <w:rFonts w:ascii="Helv" w:hAnsi="Helv" w:cs="Helv"/>
          <w:color w:val="000000"/>
          <w:kern w:val="24"/>
          <w:sz w:val="16"/>
          <w:szCs w:val="16"/>
        </w:rPr>
        <w:t xml:space="preserve">des Bundes an den Kosten beträgt 84,8 Prozent, der kommunale Finanzierungsanteil (KFA) beträgt 15,2 Prozent. Inklusive </w:t>
      </w:r>
      <w:r>
        <w:rPr>
          <w:rFonts w:ascii="Helv" w:hAnsi="Helv" w:cs="Helv"/>
          <w:color w:val="000000"/>
          <w:kern w:val="24"/>
          <w:sz w:val="16"/>
          <w:szCs w:val="16"/>
        </w:rPr>
        <w:t xml:space="preserve">  </w:t>
      </w:r>
    </w:p>
    <w:p w14:paraId="39729457" w14:textId="774C09FB" w:rsidR="002C7F4B" w:rsidRDefault="002C7F4B" w:rsidP="00694161">
      <w:pPr>
        <w:rPr>
          <w:rFonts w:ascii="Helv" w:hAnsi="Helv" w:cs="Helv"/>
          <w:color w:val="000000"/>
          <w:kern w:val="24"/>
          <w:sz w:val="16"/>
          <w:szCs w:val="16"/>
        </w:rPr>
      </w:pPr>
      <w:r>
        <w:rPr>
          <w:rFonts w:ascii="Helv" w:hAnsi="Helv" w:cs="Helv"/>
          <w:color w:val="000000"/>
          <w:kern w:val="24"/>
          <w:sz w:val="16"/>
          <w:szCs w:val="16"/>
        </w:rPr>
        <w:t xml:space="preserve">       </w:t>
      </w:r>
      <w:r w:rsidR="00D44A99" w:rsidRPr="00E106D0">
        <w:rPr>
          <w:rFonts w:ascii="Helv" w:hAnsi="Helv" w:cs="Helv"/>
          <w:color w:val="000000"/>
          <w:kern w:val="24"/>
          <w:sz w:val="16"/>
          <w:szCs w:val="16"/>
        </w:rPr>
        <w:t xml:space="preserve">aller Pauschalen übersteigt die Erstattung des Bundes den kostenwirksamen Aufwand, der bei der LHS für die operative(n) </w:t>
      </w:r>
    </w:p>
    <w:p w14:paraId="05E3919B" w14:textId="3B27E1B6" w:rsidR="00694161" w:rsidRPr="00694161" w:rsidRDefault="002C7F4B" w:rsidP="00694161">
      <w:r>
        <w:rPr>
          <w:rFonts w:ascii="Helv" w:hAnsi="Helv" w:cs="Helv"/>
          <w:color w:val="000000"/>
          <w:kern w:val="24"/>
          <w:sz w:val="16"/>
          <w:szCs w:val="16"/>
        </w:rPr>
        <w:t xml:space="preserve">       </w:t>
      </w:r>
      <w:r w:rsidR="00D44A99" w:rsidRPr="00E106D0">
        <w:rPr>
          <w:rFonts w:ascii="Helv" w:hAnsi="Helv" w:cs="Helv"/>
          <w:color w:val="000000"/>
          <w:kern w:val="24"/>
          <w:sz w:val="16"/>
          <w:szCs w:val="16"/>
        </w:rPr>
        <w:t>Stelle(n) entsteht</w:t>
      </w:r>
      <w:r w:rsidR="00D44A99">
        <w:rPr>
          <w:rFonts w:ascii="Helv" w:hAnsi="Helv" w:cs="Helv"/>
          <w:color w:val="000000"/>
          <w:kern w:val="24"/>
          <w:sz w:val="16"/>
          <w:szCs w:val="16"/>
        </w:rPr>
        <w:t>.</w:t>
      </w:r>
    </w:p>
    <w:p w14:paraId="06559B9D" w14:textId="77777777" w:rsidR="00694161" w:rsidRPr="00694161" w:rsidRDefault="00694161" w:rsidP="00694161"/>
    <w:p w14:paraId="1D3F8145" w14:textId="77777777"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14:paraId="284F067D" w14:textId="77777777" w:rsidR="00D44A99" w:rsidRPr="00E106D0" w:rsidRDefault="00D44A99" w:rsidP="00D44A99">
      <w:pPr>
        <w:rPr>
          <w:rFonts w:eastAsiaTheme="minorEastAsia" w:cs="Arial"/>
        </w:rPr>
      </w:pPr>
    </w:p>
    <w:p w14:paraId="6689ECEF" w14:textId="4030639F" w:rsidR="00A82441" w:rsidRPr="00DC4C59" w:rsidRDefault="00A82441" w:rsidP="00A82441">
      <w:r w:rsidRPr="00DC4C59">
        <w:t xml:space="preserve">Im Kontext </w:t>
      </w:r>
      <w:r>
        <w:t xml:space="preserve">der Flüchtlingswelle und </w:t>
      </w:r>
      <w:r w:rsidRPr="00DC4C59">
        <w:t xml:space="preserve">steigender Flüchtlingszahlen </w:t>
      </w:r>
      <w:r>
        <w:t xml:space="preserve">im Rechtskreis SGB II </w:t>
      </w:r>
      <w:r w:rsidRPr="00DC4C59">
        <w:t xml:space="preserve">wurden mit dem Geschäftsplan 2016 des Jobcenters (GRDrs. 1209/2015, Anlage </w:t>
      </w:r>
      <w:r>
        <w:t>9</w:t>
      </w:r>
      <w:r w:rsidRPr="00DC4C59">
        <w:t xml:space="preserve">) </w:t>
      </w:r>
      <w:r>
        <w:t>2,00</w:t>
      </w:r>
      <w:r w:rsidRPr="00DC4C59">
        <w:t xml:space="preserve"> Stellen,</w:t>
      </w:r>
      <w:r>
        <w:t xml:space="preserve"> TVöD EG 10,</w:t>
      </w:r>
      <w:r w:rsidRPr="00DC4C59">
        <w:t xml:space="preserve"> für die </w:t>
      </w:r>
      <w:r>
        <w:t>Integrationsfachkr</w:t>
      </w:r>
      <w:r w:rsidR="00F91500">
        <w:t>ä</w:t>
      </w:r>
      <w:r>
        <w:t>ft</w:t>
      </w:r>
      <w:r w:rsidR="00F91500">
        <w:t>e mit Schwerpunkt Integration von Flüchtlingen</w:t>
      </w:r>
      <w:r w:rsidRPr="00DC4C59">
        <w:t xml:space="preserve"> im </w:t>
      </w:r>
      <w:r>
        <w:t>Arbeitgeberteam</w:t>
      </w:r>
      <w:r w:rsidRPr="00DC4C59">
        <w:t xml:space="preserve"> in der Abteilung </w:t>
      </w:r>
      <w:r>
        <w:t>Markt und Integration</w:t>
      </w:r>
      <w:r w:rsidRPr="00DC4C59">
        <w:t xml:space="preserve"> geschaffen. Die Stellen wurden zuletzt zum Stellenplan 2020 (GRDrs. 987/2019, Anlage </w:t>
      </w:r>
      <w:r w:rsidR="00F91500">
        <w:t>9</w:t>
      </w:r>
      <w:r w:rsidRPr="00DC4C59">
        <w:t>) bis 01/2022 verlängert.</w:t>
      </w:r>
    </w:p>
    <w:p w14:paraId="04A11A3E" w14:textId="77777777" w:rsidR="00A82441" w:rsidRDefault="00A82441" w:rsidP="00D44A99">
      <w:pPr>
        <w:rPr>
          <w:rFonts w:eastAsiaTheme="minorEastAsia" w:cs="Arial"/>
        </w:rPr>
      </w:pPr>
    </w:p>
    <w:p w14:paraId="2899650F" w14:textId="03DD3B54" w:rsidR="0096242F" w:rsidRDefault="00F91500" w:rsidP="0096242F">
      <w:pPr>
        <w:rPr>
          <w:rFonts w:cs="Arial"/>
        </w:rPr>
      </w:pPr>
      <w:r w:rsidRPr="00DC4C59">
        <w:rPr>
          <w:rFonts w:cs="Arial"/>
        </w:rPr>
        <w:t>Für den Doppelhaushalt 2022/2023 werden sowohl konstante Flüchtlingszahlen prognostiziert als auch mit weiter steigenden Fallzahlen als Auswirkung der COVID 19-Pandemie gerechnet</w:t>
      </w:r>
      <w:r w:rsidR="00780813">
        <w:rPr>
          <w:rFonts w:cs="Arial"/>
        </w:rPr>
        <w:t>.</w:t>
      </w:r>
      <w:r w:rsidR="0096242F">
        <w:rPr>
          <w:rFonts w:cs="Arial"/>
        </w:rPr>
        <w:t xml:space="preserve"> </w:t>
      </w:r>
      <w:r w:rsidR="0096242F" w:rsidRPr="00B13174">
        <w:rPr>
          <w:rFonts w:cs="Arial"/>
        </w:rPr>
        <w:t>Somit werden die Stellen zur Aufgabenerledigung auch weiterhin benötigt. Deshalb wird die Verlängerung des kw</w:t>
      </w:r>
      <w:r w:rsidR="0096242F">
        <w:rPr>
          <w:rFonts w:cs="Arial"/>
        </w:rPr>
        <w:t>-Vermerks um 2 Jahre (kw 01/2024</w:t>
      </w:r>
      <w:r w:rsidR="0096242F" w:rsidRPr="00B13174">
        <w:rPr>
          <w:rFonts w:cs="Arial"/>
        </w:rPr>
        <w:t xml:space="preserve">) beantragt. Die Besetzung der Stellen erfolgt unbefristet. </w:t>
      </w:r>
    </w:p>
    <w:p w14:paraId="2C8618FB" w14:textId="77777777" w:rsidR="0096242F" w:rsidRPr="00B13174" w:rsidRDefault="0096242F" w:rsidP="0096242F">
      <w:pPr>
        <w:rPr>
          <w:rFonts w:cs="Arial"/>
        </w:rPr>
      </w:pPr>
    </w:p>
    <w:p w14:paraId="2E5193F8" w14:textId="6DBDC313" w:rsidR="00610E69" w:rsidRDefault="0037076E" w:rsidP="00EF538E">
      <w:pPr>
        <w:rPr>
          <w:rFonts w:eastAsiaTheme="minorEastAsia" w:cs="Arial"/>
        </w:rPr>
      </w:pPr>
      <w:r>
        <w:t xml:space="preserve">Die Erfahrungen der letzten Jahre haben gezeigt, dass ein Teil der </w:t>
      </w:r>
      <w:r w:rsidR="003D4200">
        <w:t>Leistungsberechtigten mit Fluchthintergrund</w:t>
      </w:r>
      <w:r>
        <w:t xml:space="preserve"> gute bis s</w:t>
      </w:r>
      <w:r w:rsidR="00610E69">
        <w:t xml:space="preserve">ehr gute Voraussetzungen durch z. B. einen guten Bildungsabschluss oder eine abgeschlossene und bereits in Deutschland anerkannte Ausbildung hatte und </w:t>
      </w:r>
      <w:r>
        <w:t xml:space="preserve">mit </w:t>
      </w:r>
      <w:r w:rsidR="00C65CC4">
        <w:t>Begleitung</w:t>
      </w:r>
      <w:r>
        <w:t xml:space="preserve"> der Integrationsfachkräfte schnell in den ersten Arbeitsmarkt integrier</w:t>
      </w:r>
      <w:r w:rsidR="00610E69">
        <w:t xml:space="preserve">t werden konnte. Die Leistungsberechtigten, die inzwischen durch die Integrationsfachkräfte unterstützt werden, bedürfen </w:t>
      </w:r>
      <w:r w:rsidR="00402785">
        <w:t xml:space="preserve">i. d. R. </w:t>
      </w:r>
      <w:r w:rsidR="00610E69">
        <w:t xml:space="preserve">einer sehr intensiven Begleitung, </w:t>
      </w:r>
      <w:r w:rsidR="00610E69">
        <w:rPr>
          <w:rFonts w:eastAsiaTheme="minorEastAsia" w:cs="Arial"/>
        </w:rPr>
        <w:t>so</w:t>
      </w:r>
      <w:r w:rsidR="002C00C7">
        <w:rPr>
          <w:rFonts w:eastAsiaTheme="minorEastAsia" w:cs="Arial"/>
        </w:rPr>
        <w:t xml:space="preserve"> </w:t>
      </w:r>
      <w:r w:rsidR="00610E69">
        <w:rPr>
          <w:rFonts w:eastAsiaTheme="minorEastAsia" w:cs="Arial"/>
        </w:rPr>
        <w:t xml:space="preserve">dass dazu </w:t>
      </w:r>
      <w:r w:rsidR="0096242F">
        <w:rPr>
          <w:rFonts w:eastAsiaTheme="minorEastAsia" w:cs="Arial"/>
        </w:rPr>
        <w:t>weiterhin</w:t>
      </w:r>
      <w:r w:rsidR="00610E69">
        <w:rPr>
          <w:rFonts w:eastAsiaTheme="minorEastAsia" w:cs="Arial"/>
        </w:rPr>
        <w:t xml:space="preserve"> </w:t>
      </w:r>
      <w:r w:rsidR="00C65CC4">
        <w:rPr>
          <w:rFonts w:eastAsiaTheme="minorEastAsia" w:cs="Arial"/>
        </w:rPr>
        <w:t>zwei</w:t>
      </w:r>
      <w:r w:rsidR="00610E69">
        <w:rPr>
          <w:rFonts w:eastAsiaTheme="minorEastAsia" w:cs="Arial"/>
        </w:rPr>
        <w:t xml:space="preserve"> Vollzeitstellen im Arbeitgeberteam notwendig sind</w:t>
      </w:r>
      <w:r w:rsidR="00402785">
        <w:rPr>
          <w:rFonts w:eastAsiaTheme="minorEastAsia" w:cs="Arial"/>
        </w:rPr>
        <w:t>.</w:t>
      </w:r>
    </w:p>
    <w:p w14:paraId="6EFF511E" w14:textId="77777777" w:rsidR="0047245B" w:rsidRDefault="0047245B" w:rsidP="00EF538E"/>
    <w:p w14:paraId="14A44B4F" w14:textId="386C42EC" w:rsidR="00D44A99" w:rsidRDefault="00B8514C" w:rsidP="008C4D7B">
      <w:pPr>
        <w:rPr>
          <w:rFonts w:eastAsiaTheme="minorEastAsia" w:cs="Arial"/>
        </w:rPr>
      </w:pPr>
      <w:r>
        <w:lastRenderedPageBreak/>
        <w:t>Neben der sog. B</w:t>
      </w:r>
      <w:r w:rsidR="0047245B">
        <w:t>ewerber</w:t>
      </w:r>
      <w:r w:rsidR="003A03B8">
        <w:t>/-</w:t>
      </w:r>
      <w:r w:rsidR="00821A7F">
        <w:t>innen</w:t>
      </w:r>
      <w:r>
        <w:t xml:space="preserve"> </w:t>
      </w:r>
      <w:r w:rsidR="0047245B">
        <w:t xml:space="preserve">orientierten Vermittlungsarbeit (also </w:t>
      </w:r>
      <w:r w:rsidR="00200B3B">
        <w:t>dem</w:t>
      </w:r>
      <w:r w:rsidR="0047245B">
        <w:t xml:space="preserve"> Ansprechen von </w:t>
      </w:r>
      <w:r w:rsidR="003A03B8">
        <w:t>Arbeitgeber/-</w:t>
      </w:r>
      <w:r w:rsidR="00200B3B">
        <w:t xml:space="preserve">innen anlässlich vorliegender Bewerbungsunterlagen von Leistungsberechtigen) </w:t>
      </w:r>
      <w:r w:rsidR="0047245B">
        <w:t xml:space="preserve">melden sich auch viele </w:t>
      </w:r>
      <w:r w:rsidR="003424CD">
        <w:rPr>
          <w:rFonts w:eastAsiaTheme="minorEastAsia" w:cs="Arial"/>
        </w:rPr>
        <w:t xml:space="preserve">Firmen </w:t>
      </w:r>
      <w:r w:rsidR="0047245B">
        <w:rPr>
          <w:rFonts w:eastAsiaTheme="minorEastAsia" w:cs="Arial"/>
        </w:rPr>
        <w:t>beim</w:t>
      </w:r>
      <w:r w:rsidR="00D44A99" w:rsidRPr="00945241">
        <w:rPr>
          <w:rFonts w:eastAsiaTheme="minorEastAsia" w:cs="Arial"/>
        </w:rPr>
        <w:t xml:space="preserve"> Arbeitgeberteam und bieten Praktikums- und Arbeitsplätze an. Hierunter befinden sich die namhaften Stuttgarter Globalplayer, die in regelmäßigen Abständen „Großprojekte“ anbieten und demnach die Unterstützung bei der Umsetzung der Projekte regelrecht einfordern. Wenn diese Anfragen aufgrund fehlenden Personals nicht zeitnah bedient werden können, wird damit eine große Chance zur Integration von </w:t>
      </w:r>
      <w:r w:rsidR="00B43DC8">
        <w:rPr>
          <w:rFonts w:eastAsiaTheme="minorEastAsia" w:cs="Arial"/>
        </w:rPr>
        <w:t>Leistungsberechtigten mit Fluchthintergrund</w:t>
      </w:r>
      <w:r w:rsidR="00D44A99" w:rsidRPr="00945241">
        <w:rPr>
          <w:rFonts w:eastAsiaTheme="minorEastAsia" w:cs="Arial"/>
        </w:rPr>
        <w:t xml:space="preserve"> vertan. </w:t>
      </w:r>
    </w:p>
    <w:p w14:paraId="5555A991" w14:textId="77777777" w:rsidR="00821A7F" w:rsidRDefault="00821A7F" w:rsidP="008C4D7B">
      <w:pPr>
        <w:rPr>
          <w:rFonts w:eastAsiaTheme="minorEastAsia" w:cs="Arial"/>
        </w:rPr>
      </w:pPr>
    </w:p>
    <w:p w14:paraId="2E073FDA" w14:textId="5B244ACB" w:rsidR="00EE62AF" w:rsidRDefault="00C65CC4" w:rsidP="00EE62AF">
      <w:r>
        <w:rPr>
          <w:rFonts w:eastAsiaTheme="minorEastAsia" w:cs="Arial"/>
        </w:rPr>
        <w:t xml:space="preserve">Aber nicht nur die </w:t>
      </w:r>
      <w:r w:rsidR="00071754">
        <w:rPr>
          <w:rFonts w:eastAsiaTheme="minorEastAsia" w:cs="Arial"/>
        </w:rPr>
        <w:t>persönliche</w:t>
      </w:r>
      <w:r>
        <w:rPr>
          <w:rFonts w:eastAsiaTheme="minorEastAsia" w:cs="Arial"/>
        </w:rPr>
        <w:t xml:space="preserve"> Begleitung </w:t>
      </w:r>
      <w:r w:rsidR="00071754">
        <w:rPr>
          <w:rFonts w:eastAsiaTheme="minorEastAsia" w:cs="Arial"/>
        </w:rPr>
        <w:t xml:space="preserve">von Leistungsberechtigten mit Fluchthintergrund </w:t>
      </w:r>
      <w:r w:rsidR="009C02CB">
        <w:rPr>
          <w:rFonts w:eastAsiaTheme="minorEastAsia" w:cs="Arial"/>
        </w:rPr>
        <w:t>sowie die Akquise von</w:t>
      </w:r>
      <w:r w:rsidR="003A03B8">
        <w:rPr>
          <w:rFonts w:eastAsiaTheme="minorEastAsia" w:cs="Arial"/>
        </w:rPr>
        <w:t xml:space="preserve"> Arbeitsplätzen bei Arbeitgeber/-</w:t>
      </w:r>
      <w:r w:rsidR="009C02CB">
        <w:rPr>
          <w:rFonts w:eastAsiaTheme="minorEastAsia" w:cs="Arial"/>
        </w:rPr>
        <w:t>innen</w:t>
      </w:r>
      <w:r w:rsidR="003A03B8">
        <w:rPr>
          <w:rFonts w:eastAsiaTheme="minorEastAsia" w:cs="Arial"/>
        </w:rPr>
        <w:t>,</w:t>
      </w:r>
      <w:r w:rsidR="009C02CB">
        <w:rPr>
          <w:rFonts w:eastAsiaTheme="minorEastAsia" w:cs="Arial"/>
        </w:rPr>
        <w:t xml:space="preserve"> </w:t>
      </w:r>
      <w:r>
        <w:rPr>
          <w:rFonts w:eastAsiaTheme="minorEastAsia" w:cs="Arial"/>
        </w:rPr>
        <w:t xml:space="preserve">sondern auch </w:t>
      </w:r>
      <w:r w:rsidR="00821A7F">
        <w:rPr>
          <w:rFonts w:eastAsiaTheme="minorEastAsia" w:cs="Arial"/>
        </w:rPr>
        <w:t>die Organisation von und Teilnahme an Messen (z. B. Jobmesse</w:t>
      </w:r>
      <w:r w:rsidR="00071754">
        <w:rPr>
          <w:rFonts w:eastAsiaTheme="minorEastAsia" w:cs="Arial"/>
        </w:rPr>
        <w:t>n</w:t>
      </w:r>
      <w:r w:rsidR="00821A7F">
        <w:rPr>
          <w:rFonts w:eastAsiaTheme="minorEastAsia" w:cs="Arial"/>
        </w:rPr>
        <w:t xml:space="preserve"> für ausländische Fachkräfte </w:t>
      </w:r>
      <w:r w:rsidR="00071754">
        <w:rPr>
          <w:rFonts w:eastAsiaTheme="minorEastAsia" w:cs="Arial"/>
        </w:rPr>
        <w:t xml:space="preserve">in den Räumlichkeiten </w:t>
      </w:r>
      <w:r w:rsidR="00821A7F">
        <w:rPr>
          <w:rFonts w:eastAsiaTheme="minorEastAsia" w:cs="Arial"/>
        </w:rPr>
        <w:t>der Industrie- und Handelskammer Region Stuttgart)</w:t>
      </w:r>
      <w:r w:rsidR="00071754">
        <w:rPr>
          <w:rFonts w:eastAsiaTheme="minorEastAsia" w:cs="Arial"/>
        </w:rPr>
        <w:t>, Informations</w:t>
      </w:r>
      <w:r w:rsidR="003A03B8">
        <w:rPr>
          <w:rFonts w:eastAsiaTheme="minorEastAsia" w:cs="Arial"/>
        </w:rPr>
        <w:t>veranstaltungen bei Arbeitgeber/-innen und Netzwerkpartner/-</w:t>
      </w:r>
      <w:r w:rsidR="00071754">
        <w:rPr>
          <w:rFonts w:eastAsiaTheme="minorEastAsia" w:cs="Arial"/>
        </w:rPr>
        <w:t>innen (wie z. B. den Handels- und Gewerbevereinen in den Stuttgarter Stadtbezirken)</w:t>
      </w:r>
      <w:r w:rsidR="00821A7F">
        <w:rPr>
          <w:rFonts w:eastAsiaTheme="minorEastAsia" w:cs="Arial"/>
        </w:rPr>
        <w:t xml:space="preserve"> </w:t>
      </w:r>
      <w:r w:rsidR="00071754">
        <w:rPr>
          <w:rFonts w:eastAsiaTheme="minorEastAsia" w:cs="Arial"/>
        </w:rPr>
        <w:t xml:space="preserve">und die Teilnahme an Arbeitskreisen </w:t>
      </w:r>
      <w:r>
        <w:rPr>
          <w:rFonts w:eastAsiaTheme="minorEastAsia" w:cs="Arial"/>
        </w:rPr>
        <w:t xml:space="preserve">tragen </w:t>
      </w:r>
      <w:r w:rsidR="00821A7F">
        <w:rPr>
          <w:rFonts w:eastAsiaTheme="minorEastAsia" w:cs="Arial"/>
        </w:rPr>
        <w:t>zum Erfolg der Arbeit der Integrationsfachkräfte bei</w:t>
      </w:r>
      <w:r w:rsidR="00B8514C">
        <w:rPr>
          <w:rFonts w:eastAsiaTheme="minorEastAsia" w:cs="Arial"/>
        </w:rPr>
        <w:t xml:space="preserve">. </w:t>
      </w:r>
      <w:r w:rsidR="00EE62AF">
        <w:rPr>
          <w:rFonts w:eastAsiaTheme="minorEastAsia" w:cs="Arial"/>
        </w:rPr>
        <w:t xml:space="preserve">So konnten im </w:t>
      </w:r>
      <w:r w:rsidR="00EE62AF">
        <w:t xml:space="preserve">Zeitraum vom 1. April 2018 bis 31. März 2020 die zwei Integrationsfachkräfte von den von ihnen 192 betreuten Personen 126 in Arbeit, 13 in eine Einstiegsqualifizierung und 11 in Ausbildung vermitteln und damit eine Integrationsquote von 78 % erreichen. </w:t>
      </w:r>
    </w:p>
    <w:p w14:paraId="4858F0BE" w14:textId="77777777" w:rsidR="00EE62AF" w:rsidRDefault="00EE62AF" w:rsidP="00EE62AF"/>
    <w:p w14:paraId="43DB0599" w14:textId="37EFE77C" w:rsidR="00B8514C" w:rsidRDefault="00B8514C" w:rsidP="00B8514C">
      <w:r>
        <w:rPr>
          <w:rFonts w:eastAsiaTheme="minorEastAsia" w:cs="Arial"/>
        </w:rPr>
        <w:t xml:space="preserve">Ohne diese Vernetzungstätigkeit, die überproportional Zeit in Anspruch nimmt, </w:t>
      </w:r>
      <w:r w:rsidRPr="00B13174">
        <w:rPr>
          <w:rFonts w:eastAsiaTheme="minorEastAsia" w:cs="Arial"/>
        </w:rPr>
        <w:t>könnte die Arbeit der Integrationsfachkräfte nicht erfolgreich geleistet werden</w:t>
      </w:r>
      <w:r>
        <w:rPr>
          <w:rFonts w:eastAsiaTheme="minorEastAsia" w:cs="Arial"/>
        </w:rPr>
        <w:t xml:space="preserve"> und weniger </w:t>
      </w:r>
      <w:r>
        <w:t xml:space="preserve">Leistungsberechtigte mit Fluchthintergrund in Arbeit vermittelt und somit gesellschaftlich integriert werden. </w:t>
      </w:r>
    </w:p>
    <w:p w14:paraId="48E2223D" w14:textId="77777777" w:rsidR="003424CD" w:rsidRDefault="003424CD" w:rsidP="008C4D7B"/>
    <w:sectPr w:rsidR="003424C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6C0F" w14:textId="77777777" w:rsidR="00695E12" w:rsidRDefault="00695E12">
      <w:r>
        <w:separator/>
      </w:r>
    </w:p>
  </w:endnote>
  <w:endnote w:type="continuationSeparator" w:id="0">
    <w:p w14:paraId="52FC7EE5" w14:textId="77777777" w:rsidR="00695E12" w:rsidRDefault="0069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DBC9" w14:textId="77777777" w:rsidR="00695E12" w:rsidRDefault="00695E12">
      <w:r>
        <w:separator/>
      </w:r>
    </w:p>
  </w:footnote>
  <w:footnote w:type="continuationSeparator" w:id="0">
    <w:p w14:paraId="471A4A98" w14:textId="77777777" w:rsidR="00695E12" w:rsidRDefault="0069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7A60" w14:textId="73D7F4ED"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F81AF7">
      <w:rPr>
        <w:rStyle w:val="Seitenzahl"/>
        <w:noProof/>
      </w:rPr>
      <w:t>2</w:t>
    </w:r>
    <w:r w:rsidR="00AF120D">
      <w:rPr>
        <w:rStyle w:val="Seitenzahl"/>
      </w:rPr>
      <w:fldChar w:fldCharType="end"/>
    </w:r>
    <w:r>
      <w:rPr>
        <w:rStyle w:val="Seitenzahl"/>
      </w:rPr>
      <w:t xml:space="preserve"> -</w:t>
    </w:r>
  </w:p>
  <w:p w14:paraId="65D594EE" w14:textId="77777777"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DF416E"/>
    <w:multiLevelType w:val="hybridMultilevel"/>
    <w:tmpl w:val="61742F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A"/>
    <w:rsid w:val="000564A8"/>
    <w:rsid w:val="00065F40"/>
    <w:rsid w:val="00071754"/>
    <w:rsid w:val="000A1146"/>
    <w:rsid w:val="001058DD"/>
    <w:rsid w:val="0012625F"/>
    <w:rsid w:val="00165C0D"/>
    <w:rsid w:val="00173E9D"/>
    <w:rsid w:val="00181857"/>
    <w:rsid w:val="00186BFB"/>
    <w:rsid w:val="001F1C09"/>
    <w:rsid w:val="001F5D9F"/>
    <w:rsid w:val="00200B3B"/>
    <w:rsid w:val="00202C9A"/>
    <w:rsid w:val="002058C2"/>
    <w:rsid w:val="00213C7A"/>
    <w:rsid w:val="002812E4"/>
    <w:rsid w:val="002924CB"/>
    <w:rsid w:val="002A664A"/>
    <w:rsid w:val="002B6783"/>
    <w:rsid w:val="002C00C7"/>
    <w:rsid w:val="002C2648"/>
    <w:rsid w:val="002C2BCF"/>
    <w:rsid w:val="002C3F5D"/>
    <w:rsid w:val="002C71CD"/>
    <w:rsid w:val="002C7F4B"/>
    <w:rsid w:val="003237BB"/>
    <w:rsid w:val="003424CD"/>
    <w:rsid w:val="0034380B"/>
    <w:rsid w:val="00356AFE"/>
    <w:rsid w:val="00361333"/>
    <w:rsid w:val="0037076E"/>
    <w:rsid w:val="003A03B8"/>
    <w:rsid w:val="003A7A41"/>
    <w:rsid w:val="003D4200"/>
    <w:rsid w:val="003D5196"/>
    <w:rsid w:val="003D7B0B"/>
    <w:rsid w:val="003F20FE"/>
    <w:rsid w:val="00402785"/>
    <w:rsid w:val="00406723"/>
    <w:rsid w:val="00406A91"/>
    <w:rsid w:val="0047245B"/>
    <w:rsid w:val="004808CA"/>
    <w:rsid w:val="004920E9"/>
    <w:rsid w:val="004B6796"/>
    <w:rsid w:val="004D7F89"/>
    <w:rsid w:val="00500248"/>
    <w:rsid w:val="00537E08"/>
    <w:rsid w:val="00571FCC"/>
    <w:rsid w:val="005778E9"/>
    <w:rsid w:val="005E7511"/>
    <w:rsid w:val="005E7A74"/>
    <w:rsid w:val="00600E2F"/>
    <w:rsid w:val="0060281A"/>
    <w:rsid w:val="00610E69"/>
    <w:rsid w:val="006423F9"/>
    <w:rsid w:val="00694161"/>
    <w:rsid w:val="00695E12"/>
    <w:rsid w:val="006B7225"/>
    <w:rsid w:val="006B7B06"/>
    <w:rsid w:val="006C0767"/>
    <w:rsid w:val="006C1AC2"/>
    <w:rsid w:val="006E0575"/>
    <w:rsid w:val="00700CF5"/>
    <w:rsid w:val="00701699"/>
    <w:rsid w:val="00746A71"/>
    <w:rsid w:val="00767369"/>
    <w:rsid w:val="00780813"/>
    <w:rsid w:val="00796600"/>
    <w:rsid w:val="007A349E"/>
    <w:rsid w:val="007B5FE2"/>
    <w:rsid w:val="00821A7F"/>
    <w:rsid w:val="008266FF"/>
    <w:rsid w:val="0083052F"/>
    <w:rsid w:val="00840569"/>
    <w:rsid w:val="00884D6C"/>
    <w:rsid w:val="00891246"/>
    <w:rsid w:val="00893E55"/>
    <w:rsid w:val="008A1899"/>
    <w:rsid w:val="008C4D7B"/>
    <w:rsid w:val="00950BE4"/>
    <w:rsid w:val="0096242F"/>
    <w:rsid w:val="00984AC4"/>
    <w:rsid w:val="00995EBD"/>
    <w:rsid w:val="009B0FBE"/>
    <w:rsid w:val="009C02CB"/>
    <w:rsid w:val="00A206E5"/>
    <w:rsid w:val="00A34898"/>
    <w:rsid w:val="00A51C1D"/>
    <w:rsid w:val="00A641D4"/>
    <w:rsid w:val="00A7256C"/>
    <w:rsid w:val="00A77F1E"/>
    <w:rsid w:val="00A82441"/>
    <w:rsid w:val="00A8778F"/>
    <w:rsid w:val="00AB0D1F"/>
    <w:rsid w:val="00AB2D9C"/>
    <w:rsid w:val="00AB7E81"/>
    <w:rsid w:val="00AD3A46"/>
    <w:rsid w:val="00AE3FEE"/>
    <w:rsid w:val="00AF120D"/>
    <w:rsid w:val="00B04290"/>
    <w:rsid w:val="00B238D8"/>
    <w:rsid w:val="00B43DC8"/>
    <w:rsid w:val="00B5303E"/>
    <w:rsid w:val="00B57B66"/>
    <w:rsid w:val="00B66DEC"/>
    <w:rsid w:val="00B80DEF"/>
    <w:rsid w:val="00B8514C"/>
    <w:rsid w:val="00C42332"/>
    <w:rsid w:val="00C448D3"/>
    <w:rsid w:val="00C53AD8"/>
    <w:rsid w:val="00C65CC4"/>
    <w:rsid w:val="00C7137D"/>
    <w:rsid w:val="00CD0B27"/>
    <w:rsid w:val="00CE7D5B"/>
    <w:rsid w:val="00D15184"/>
    <w:rsid w:val="00D24277"/>
    <w:rsid w:val="00D44A99"/>
    <w:rsid w:val="00D544BF"/>
    <w:rsid w:val="00DA24CD"/>
    <w:rsid w:val="00DA701E"/>
    <w:rsid w:val="00DE32BA"/>
    <w:rsid w:val="00DF268B"/>
    <w:rsid w:val="00DF3470"/>
    <w:rsid w:val="00E051CF"/>
    <w:rsid w:val="00E1162F"/>
    <w:rsid w:val="00E11D5F"/>
    <w:rsid w:val="00E24518"/>
    <w:rsid w:val="00E37194"/>
    <w:rsid w:val="00E76893"/>
    <w:rsid w:val="00E917F3"/>
    <w:rsid w:val="00EC0F1D"/>
    <w:rsid w:val="00EE62AF"/>
    <w:rsid w:val="00EF538E"/>
    <w:rsid w:val="00F00C79"/>
    <w:rsid w:val="00F132FA"/>
    <w:rsid w:val="00F21898"/>
    <w:rsid w:val="00F27657"/>
    <w:rsid w:val="00F27BB8"/>
    <w:rsid w:val="00F53458"/>
    <w:rsid w:val="00F81AF7"/>
    <w:rsid w:val="00F91500"/>
    <w:rsid w:val="00FB1AA1"/>
    <w:rsid w:val="00FD5391"/>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E722"/>
  <w15:docId w15:val="{8BE8994F-AB64-4365-95C4-DFDC14C0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link w:val="KommentartextZchn"/>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C53AD8"/>
    <w:rPr>
      <w:b/>
      <w:bCs/>
      <w:szCs w:val="20"/>
    </w:rPr>
  </w:style>
  <w:style w:type="character" w:customStyle="1" w:styleId="KommentartextZchn">
    <w:name w:val="Kommentartext Zchn"/>
    <w:basedOn w:val="Absatz-Standardschriftart"/>
    <w:link w:val="Kommentartext"/>
    <w:semiHidden/>
    <w:rsid w:val="00C53AD8"/>
    <w:rPr>
      <w:sz w:val="20"/>
    </w:rPr>
  </w:style>
  <w:style w:type="character" w:customStyle="1" w:styleId="KommentarthemaZchn">
    <w:name w:val="Kommentarthema Zchn"/>
    <w:basedOn w:val="KommentartextZchn"/>
    <w:link w:val="Kommentarthema"/>
    <w:semiHidden/>
    <w:rsid w:val="00C53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909">
      <w:bodyDiv w:val="1"/>
      <w:marLeft w:val="0"/>
      <w:marRight w:val="0"/>
      <w:marTop w:val="0"/>
      <w:marBottom w:val="0"/>
      <w:divBdr>
        <w:top w:val="none" w:sz="0" w:space="0" w:color="auto"/>
        <w:left w:val="none" w:sz="0" w:space="0" w:color="auto"/>
        <w:bottom w:val="none" w:sz="0" w:space="0" w:color="auto"/>
        <w:right w:val="none" w:sz="0" w:space="0" w:color="auto"/>
      </w:divBdr>
    </w:div>
    <w:div w:id="1315261508">
      <w:bodyDiv w:val="1"/>
      <w:marLeft w:val="0"/>
      <w:marRight w:val="0"/>
      <w:marTop w:val="0"/>
      <w:marBottom w:val="0"/>
      <w:divBdr>
        <w:top w:val="none" w:sz="0" w:space="0" w:color="auto"/>
        <w:left w:val="none" w:sz="0" w:space="0" w:color="auto"/>
        <w:bottom w:val="none" w:sz="0" w:space="0" w:color="auto"/>
        <w:right w:val="none" w:sz="0" w:space="0" w:color="auto"/>
      </w:divBdr>
      <w:divsChild>
        <w:div w:id="1004822414">
          <w:marLeft w:val="0"/>
          <w:marRight w:val="0"/>
          <w:marTop w:val="0"/>
          <w:marBottom w:val="0"/>
          <w:divBdr>
            <w:top w:val="none" w:sz="0" w:space="0" w:color="auto"/>
            <w:left w:val="none" w:sz="0" w:space="0" w:color="auto"/>
            <w:bottom w:val="none" w:sz="0" w:space="0" w:color="auto"/>
            <w:right w:val="none" w:sz="0" w:space="0" w:color="auto"/>
          </w:divBdr>
        </w:div>
        <w:div w:id="1986733995">
          <w:marLeft w:val="0"/>
          <w:marRight w:val="0"/>
          <w:marTop w:val="0"/>
          <w:marBottom w:val="0"/>
          <w:divBdr>
            <w:top w:val="none" w:sz="0" w:space="0" w:color="auto"/>
            <w:left w:val="none" w:sz="0" w:space="0" w:color="auto"/>
            <w:bottom w:val="none" w:sz="0" w:space="0" w:color="auto"/>
            <w:right w:val="none" w:sz="0" w:space="0" w:color="auto"/>
          </w:divBdr>
        </w:div>
        <w:div w:id="1578202592">
          <w:marLeft w:val="0"/>
          <w:marRight w:val="0"/>
          <w:marTop w:val="0"/>
          <w:marBottom w:val="0"/>
          <w:divBdr>
            <w:top w:val="none" w:sz="0" w:space="0" w:color="auto"/>
            <w:left w:val="none" w:sz="0" w:space="0" w:color="auto"/>
            <w:bottom w:val="none" w:sz="0" w:space="0" w:color="auto"/>
            <w:right w:val="none" w:sz="0" w:space="0" w:color="auto"/>
          </w:divBdr>
        </w:div>
        <w:div w:id="122822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904\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D787-1853-40F7-B251-87D68DAD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2</Pages>
  <Words>517</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Faller, Isolde</dc:creator>
  <dc:description/>
  <cp:lastModifiedBy>Baumann, Gerhard</cp:lastModifiedBy>
  <cp:revision>7</cp:revision>
  <cp:lastPrinted>2012-11-15T11:11:00Z</cp:lastPrinted>
  <dcterms:created xsi:type="dcterms:W3CDTF">2021-01-27T09:58:00Z</dcterms:created>
  <dcterms:modified xsi:type="dcterms:W3CDTF">2021-09-29T13:59:00Z</dcterms:modified>
</cp:coreProperties>
</file>