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84C96">
        <w:t>27</w:t>
      </w:r>
      <w:r w:rsidRPr="006E0575">
        <w:t xml:space="preserve"> zur GRDrs </w:t>
      </w:r>
      <w:r w:rsidR="00584C96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51-00</w:t>
            </w:r>
            <w:r w:rsidR="00430F5C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5B493A">
              <w:rPr>
                <w:sz w:val="20"/>
              </w:rPr>
              <w:t>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F51B1B" w:rsidRDefault="007A1CAB" w:rsidP="00F51B1B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DD5DB8">
              <w:rPr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 w:rsidR="005B493A">
              <w:rPr>
                <w:sz w:val="20"/>
              </w:rPr>
              <w:t>4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7A1CAB" w:rsidP="00DD5DB8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3208D8"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Pr="006E0575" w:rsidRDefault="005B493A" w:rsidP="00DD5DB8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DD5DB8">
              <w:rPr>
                <w:sz w:val="20"/>
              </w:rPr>
              <w:t>er/-in</w:t>
            </w:r>
            <w:r>
              <w:rPr>
                <w:sz w:val="20"/>
              </w:rPr>
              <w:t xml:space="preserve"> Haushalt, Gebühren, Rechnungswesen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B493A" w:rsidP="0030686C">
            <w:pPr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B493A" w:rsidRPr="006E0575" w:rsidRDefault="005B493A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84C96" w:rsidP="0030686C">
            <w:pPr>
              <w:rPr>
                <w:sz w:val="20"/>
              </w:rPr>
            </w:pPr>
            <w:r>
              <w:rPr>
                <w:sz w:val="20"/>
              </w:rPr>
              <w:t>15.105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B493A" w:rsidRPr="000E4E35" w:rsidRDefault="005B493A" w:rsidP="005B493A">
      <w:r>
        <w:t xml:space="preserve">Um die Freistellung der Dienststellenleitung im </w:t>
      </w:r>
      <w:r w:rsidRPr="000E4E35">
        <w:t xml:space="preserve">Bereich Haushalt, Gebühren, Rechnungswesen </w:t>
      </w:r>
      <w:r>
        <w:t>(51-00-14) für Leitungsaufgaben zu realisieren, erfolgt die Schaffung einer 0,15 Sachbearbeitungsstelle.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1CAB" w:rsidRDefault="00F51B1B" w:rsidP="00F51B1B">
      <w:r>
        <w:t>Das Kriterium der Arbeitsvermehrung</w:t>
      </w:r>
      <w:r w:rsidR="00077326">
        <w:t>, Teilaspekt Leitungsspanne,</w:t>
      </w:r>
      <w:bookmarkStart w:id="0" w:name="_GoBack"/>
      <w:bookmarkEnd w:id="0"/>
      <w:r>
        <w:t xml:space="preserve"> konnte im Umfang von einer</w:t>
      </w:r>
      <w:r w:rsidR="007A1CAB">
        <w:t xml:space="preserve"> </w:t>
      </w:r>
      <w:r w:rsidR="005B493A">
        <w:t>0,15</w:t>
      </w:r>
      <w:r>
        <w:t xml:space="preserve"> Stelle nachgewiesen werden.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5B493A" w:rsidRDefault="005B493A" w:rsidP="005B493A">
      <w:r>
        <w:t>Mit der Neufassung der Geschäftsanweisung für Stellenplanbearbeitung vom 21.12.2020 hat der Gemeinderat beschlossen, das Schaffungskriterium der Arbeitsvermehrung um den Aspekt der L</w:t>
      </w:r>
      <w:r w:rsidR="006330B1">
        <w:t>eitungsspanne zu erweitern (GRDrs</w:t>
      </w:r>
      <w:r>
        <w:t>. 1050/2020 bzw. Rundschreiben 026/2020).</w:t>
      </w:r>
    </w:p>
    <w:p w:rsidR="005B493A" w:rsidRDefault="005B493A" w:rsidP="005B493A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5B493A" w:rsidRDefault="005B493A" w:rsidP="005B493A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 xml:space="preserve">Anweisungsnotwendigkeit </w:t>
      </w:r>
    </w:p>
    <w:p w:rsidR="005B493A" w:rsidRPr="003D0F78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5B493A" w:rsidRDefault="005B493A" w:rsidP="005B493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5B493A" w:rsidRDefault="005B493A" w:rsidP="005B493A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5B493A" w:rsidRPr="003D0F78" w:rsidRDefault="005B493A" w:rsidP="005B493A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5B493A" w:rsidRDefault="005B493A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5B493A" w:rsidRPr="00623944" w:rsidRDefault="005B493A" w:rsidP="005B493A">
      <w:pPr>
        <w:rPr>
          <w:b/>
        </w:rPr>
      </w:pPr>
      <w:r w:rsidRPr="00623944">
        <w:t xml:space="preserve">Bislang </w:t>
      </w:r>
      <w:r>
        <w:t>können die Leitungsaufgaben nicht im erforderlichen Umfang und in der notwendigen Qualität wahrgenommen werden, weil die Dienststellenleitung auch sachbearbeitende, unabdingbar notwendige Aufgaben, Projekte und viele Grundsatz- und Koordinationsaufgaben wahrnehmen muss.</w:t>
      </w:r>
    </w:p>
    <w:p w:rsidR="003208D8" w:rsidRPr="00A1638C" w:rsidRDefault="003208D8" w:rsidP="003208D8">
      <w:pPr>
        <w:rPr>
          <w:rFonts w:cs="Arial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B493A" w:rsidRDefault="005B493A" w:rsidP="005B493A">
      <w:r>
        <w:t>Die Leitungsaufgaben werden weiterhin nur unbefriedigend wahrgenommen.</w:t>
      </w:r>
    </w:p>
    <w:p w:rsidR="005B493A" w:rsidRDefault="005B493A" w:rsidP="005B493A">
      <w:r w:rsidRPr="00BD68CA">
        <w:t>Die Durchführung und Evaluation der Mitarbeiter</w:t>
      </w:r>
      <w:r w:rsidR="00DD5DB8">
        <w:t>/-</w:t>
      </w:r>
      <w:r>
        <w:t>innen</w:t>
      </w:r>
      <w:r w:rsidRPr="00BD68CA">
        <w:t xml:space="preserve">gespräche sind aufgrund der zu hohen Leitungsspanne </w:t>
      </w:r>
      <w:r>
        <w:t>und unter dem</w:t>
      </w:r>
      <w:r w:rsidRPr="00BD68CA">
        <w:t xml:space="preserve"> Gesichtspunkt der Arbeitsplatzqualität und dem Mitarbeiterwohlbefinden ni</w:t>
      </w:r>
      <w:r>
        <w:t xml:space="preserve">cht in gutem Maße realisierbar. </w:t>
      </w:r>
      <w:r w:rsidRPr="00BD68CA">
        <w:t xml:space="preserve">Außerdem </w:t>
      </w:r>
      <w:r>
        <w:t>kann eine</w:t>
      </w:r>
      <w:r w:rsidRPr="00BD68CA">
        <w:t xml:space="preserve"> persönliche Unterstützung</w:t>
      </w:r>
      <w:r>
        <w:t xml:space="preserve">, Anleitung </w:t>
      </w:r>
      <w:r w:rsidRPr="00BD68CA">
        <w:t xml:space="preserve">und Beratung </w:t>
      </w:r>
      <w:r>
        <w:t>nicht immer gewährleistet werden</w:t>
      </w:r>
      <w:r w:rsidRPr="00BD68CA">
        <w:t>.</w:t>
      </w:r>
      <w:r>
        <w:t xml:space="preserve"> Insbesondere in</w:t>
      </w:r>
      <w:r w:rsidRPr="00560C6B">
        <w:rPr>
          <w:noProof/>
          <w:szCs w:val="22"/>
        </w:rPr>
        <w:t xml:space="preserve"> </w:t>
      </w:r>
      <w:r>
        <w:rPr>
          <w:noProof/>
          <w:szCs w:val="22"/>
        </w:rPr>
        <w:t xml:space="preserve">Eskalationssituationen, </w:t>
      </w:r>
      <w:r w:rsidRPr="00560C6B">
        <w:rPr>
          <w:noProof/>
          <w:szCs w:val="22"/>
        </w:rPr>
        <w:t>Not- und Krisensituationen</w:t>
      </w:r>
      <w:r>
        <w:rPr>
          <w:noProof/>
          <w:szCs w:val="22"/>
        </w:rPr>
        <w:t xml:space="preserve"> und bei Ad-hoc-Aufgaben rücken bei der Leitung die berechtigten Bedarfe der Mitarbeiter</w:t>
      </w:r>
      <w:r w:rsidR="00DD5DB8">
        <w:rPr>
          <w:noProof/>
          <w:szCs w:val="22"/>
        </w:rPr>
        <w:t>/-</w:t>
      </w:r>
      <w:r>
        <w:rPr>
          <w:noProof/>
          <w:szCs w:val="22"/>
        </w:rPr>
        <w:t>innen in den Hintergrund.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B493A" w:rsidP="00884D6C">
      <w:r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7732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55758"/>
    <w:rsid w:val="000621C4"/>
    <w:rsid w:val="00077326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7759"/>
    <w:rsid w:val="002924CB"/>
    <w:rsid w:val="002A20D1"/>
    <w:rsid w:val="002A4DE3"/>
    <w:rsid w:val="002A6A00"/>
    <w:rsid w:val="002B5955"/>
    <w:rsid w:val="0030686C"/>
    <w:rsid w:val="003208D8"/>
    <w:rsid w:val="00380937"/>
    <w:rsid w:val="00397717"/>
    <w:rsid w:val="003D7B0B"/>
    <w:rsid w:val="003E69B9"/>
    <w:rsid w:val="003F0FAA"/>
    <w:rsid w:val="00430F5C"/>
    <w:rsid w:val="004605CB"/>
    <w:rsid w:val="00470135"/>
    <w:rsid w:val="0047606A"/>
    <w:rsid w:val="004908B5"/>
    <w:rsid w:val="0049121B"/>
    <w:rsid w:val="004A1688"/>
    <w:rsid w:val="004B6796"/>
    <w:rsid w:val="004F6200"/>
    <w:rsid w:val="00584C96"/>
    <w:rsid w:val="005A0A9D"/>
    <w:rsid w:val="005A56AA"/>
    <w:rsid w:val="005B493A"/>
    <w:rsid w:val="005E19C6"/>
    <w:rsid w:val="005F5B3D"/>
    <w:rsid w:val="00606F80"/>
    <w:rsid w:val="00622CC7"/>
    <w:rsid w:val="006330B1"/>
    <w:rsid w:val="006A406B"/>
    <w:rsid w:val="006B6D50"/>
    <w:rsid w:val="006D7D01"/>
    <w:rsid w:val="006E0575"/>
    <w:rsid w:val="0072799A"/>
    <w:rsid w:val="00754659"/>
    <w:rsid w:val="00782D58"/>
    <w:rsid w:val="007A1CAB"/>
    <w:rsid w:val="007E3B79"/>
    <w:rsid w:val="007F113A"/>
    <w:rsid w:val="008066EE"/>
    <w:rsid w:val="00817BB6"/>
    <w:rsid w:val="00884D6C"/>
    <w:rsid w:val="008C3271"/>
    <w:rsid w:val="00920F00"/>
    <w:rsid w:val="009373F6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6EF1"/>
    <w:rsid w:val="00C448D3"/>
    <w:rsid w:val="00CF62E5"/>
    <w:rsid w:val="00D66D3A"/>
    <w:rsid w:val="00D743D4"/>
    <w:rsid w:val="00DB3D6C"/>
    <w:rsid w:val="00DD5DB8"/>
    <w:rsid w:val="00DE362D"/>
    <w:rsid w:val="00E014B6"/>
    <w:rsid w:val="00E1162F"/>
    <w:rsid w:val="00E11D5F"/>
    <w:rsid w:val="00E20E1F"/>
    <w:rsid w:val="00E42F96"/>
    <w:rsid w:val="00E466CF"/>
    <w:rsid w:val="00E7118F"/>
    <w:rsid w:val="00F27657"/>
    <w:rsid w:val="00F342DC"/>
    <w:rsid w:val="00F51B1B"/>
    <w:rsid w:val="00F56F93"/>
    <w:rsid w:val="00F63041"/>
    <w:rsid w:val="00F75DD5"/>
    <w:rsid w:val="00F76452"/>
    <w:rsid w:val="00F964F0"/>
    <w:rsid w:val="00FA6B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F9A8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table" w:styleId="Tabellenraster">
    <w:name w:val="Table Grid"/>
    <w:basedOn w:val="NormaleTabelle"/>
    <w:uiPriority w:val="59"/>
    <w:rsid w:val="003208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1177-02AC-45FD-9397-9D8B5EB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283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8</cp:revision>
  <cp:lastPrinted>2021-10-05T06:33:00Z</cp:lastPrinted>
  <dcterms:created xsi:type="dcterms:W3CDTF">2021-07-27T09:52:00Z</dcterms:created>
  <dcterms:modified xsi:type="dcterms:W3CDTF">2021-10-05T06:33:00Z</dcterms:modified>
</cp:coreProperties>
</file>