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127AD7">
        <w:t>28</w:t>
      </w:r>
      <w:bookmarkStart w:id="0" w:name="_GoBack"/>
      <w:bookmarkEnd w:id="0"/>
      <w:r w:rsidRPr="006E0575">
        <w:t xml:space="preserve"> zur GRDrs</w:t>
      </w:r>
      <w:r w:rsidR="00863126">
        <w:t>.</w:t>
      </w:r>
      <w:r w:rsidRPr="006E0575">
        <w:t xml:space="preserve"> </w:t>
      </w:r>
      <w:r w:rsidR="00863126">
        <w:t>820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20641B">
        <w:t>4</w:t>
      </w:r>
    </w:p>
    <w:p w:rsidR="003D7B0B" w:rsidRDefault="003D7B0B" w:rsidP="006E0575"/>
    <w:p w:rsidR="003D7B0B" w:rsidRDefault="003D7B0B" w:rsidP="006E0575"/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:rsidTr="00621A46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621A46" w:rsidRPr="006E0575" w:rsidTr="00621A46">
        <w:tc>
          <w:tcPr>
            <w:tcW w:w="1701" w:type="dxa"/>
          </w:tcPr>
          <w:p w:rsidR="00621A46" w:rsidRDefault="00621A46" w:rsidP="00621A46">
            <w:pPr>
              <w:rPr>
                <w:sz w:val="20"/>
              </w:rPr>
            </w:pPr>
          </w:p>
          <w:p w:rsidR="00621A46" w:rsidRDefault="00BD2460" w:rsidP="00621A46">
            <w:pPr>
              <w:rPr>
                <w:sz w:val="20"/>
              </w:rPr>
            </w:pPr>
            <w:r>
              <w:rPr>
                <w:sz w:val="20"/>
              </w:rPr>
              <w:t>230.3013.010</w:t>
            </w:r>
          </w:p>
          <w:p w:rsidR="00FC6B9D" w:rsidRDefault="00FC6B9D" w:rsidP="00621A46">
            <w:pPr>
              <w:rPr>
                <w:sz w:val="20"/>
              </w:rPr>
            </w:pPr>
          </w:p>
          <w:p w:rsidR="00621A46" w:rsidRPr="00392ACD" w:rsidRDefault="00BD2460" w:rsidP="00621A46">
            <w:pPr>
              <w:rPr>
                <w:sz w:val="20"/>
              </w:rPr>
            </w:pPr>
            <w:r w:rsidRPr="00392ACD">
              <w:rPr>
                <w:sz w:val="20"/>
              </w:rPr>
              <w:t>2330</w:t>
            </w:r>
            <w:r w:rsidR="00C22628">
              <w:rPr>
                <w:sz w:val="20"/>
              </w:rPr>
              <w:t xml:space="preserve"> </w:t>
            </w:r>
            <w:r w:rsidRPr="00392ACD">
              <w:rPr>
                <w:sz w:val="20"/>
              </w:rPr>
              <w:t>6010</w:t>
            </w:r>
          </w:p>
          <w:p w:rsidR="006F3A54" w:rsidRDefault="006F3A54" w:rsidP="00621A46">
            <w:pPr>
              <w:rPr>
                <w:sz w:val="20"/>
              </w:rPr>
            </w:pPr>
          </w:p>
          <w:p w:rsidR="00FC6B9D" w:rsidRPr="006E0575" w:rsidRDefault="00FC6B9D" w:rsidP="00FC6B9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21A46" w:rsidRDefault="00621A46" w:rsidP="00621A46">
            <w:pPr>
              <w:rPr>
                <w:sz w:val="20"/>
              </w:rPr>
            </w:pPr>
          </w:p>
          <w:p w:rsidR="00621A46" w:rsidRPr="006E0575" w:rsidRDefault="00621A46" w:rsidP="00621A46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851" w:type="dxa"/>
          </w:tcPr>
          <w:p w:rsidR="00621A46" w:rsidRDefault="00621A46" w:rsidP="00621A46">
            <w:pPr>
              <w:rPr>
                <w:sz w:val="20"/>
              </w:rPr>
            </w:pPr>
          </w:p>
          <w:p w:rsidR="006F3A54" w:rsidRDefault="00BD2460" w:rsidP="00621A46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621A46" w:rsidRPr="006E0575" w:rsidRDefault="00621A46" w:rsidP="00621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21A46" w:rsidRDefault="00621A46" w:rsidP="00621A46">
            <w:pPr>
              <w:rPr>
                <w:sz w:val="20"/>
              </w:rPr>
            </w:pPr>
          </w:p>
          <w:p w:rsidR="006F3A54" w:rsidRDefault="00621A46" w:rsidP="00621A4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E0077">
              <w:rPr>
                <w:sz w:val="20"/>
              </w:rPr>
              <w:t>achbearbeiter</w:t>
            </w:r>
            <w:r w:rsidR="00863126">
              <w:rPr>
                <w:sz w:val="20"/>
              </w:rPr>
              <w:t>/ -</w:t>
            </w:r>
            <w:r w:rsidR="00954A37">
              <w:rPr>
                <w:sz w:val="20"/>
              </w:rPr>
              <w:t xml:space="preserve">in </w:t>
            </w:r>
          </w:p>
          <w:p w:rsidR="00621A46" w:rsidRPr="006E0575" w:rsidRDefault="00621A46" w:rsidP="00621A46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621A46" w:rsidRDefault="00621A46" w:rsidP="00621A46">
            <w:pPr>
              <w:jc w:val="center"/>
              <w:rPr>
                <w:sz w:val="20"/>
              </w:rPr>
            </w:pPr>
          </w:p>
          <w:p w:rsidR="00621A46" w:rsidRDefault="00BD2460" w:rsidP="00621A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21A46">
              <w:rPr>
                <w:sz w:val="20"/>
              </w:rPr>
              <w:t>,0</w:t>
            </w:r>
          </w:p>
          <w:p w:rsidR="00621A46" w:rsidRPr="006E0575" w:rsidRDefault="00621A46" w:rsidP="00BD246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21A46" w:rsidRDefault="00621A46" w:rsidP="00621A46">
            <w:pPr>
              <w:rPr>
                <w:sz w:val="20"/>
              </w:rPr>
            </w:pPr>
          </w:p>
          <w:p w:rsidR="00621A46" w:rsidRDefault="00863126" w:rsidP="00621A4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BD2460">
              <w:rPr>
                <w:sz w:val="20"/>
              </w:rPr>
              <w:t>01/2024</w:t>
            </w:r>
          </w:p>
          <w:p w:rsidR="006F3A54" w:rsidRPr="00A83599" w:rsidRDefault="006F3A54" w:rsidP="00621A46">
            <w:pPr>
              <w:rPr>
                <w:sz w:val="20"/>
              </w:rPr>
            </w:pPr>
          </w:p>
          <w:p w:rsidR="006F3A54" w:rsidRPr="00863126" w:rsidRDefault="00863126" w:rsidP="00621A46">
            <w:pPr>
              <w:rPr>
                <w:b/>
                <w:sz w:val="20"/>
              </w:rPr>
            </w:pPr>
            <w:r w:rsidRPr="00863126">
              <w:rPr>
                <w:b/>
                <w:sz w:val="20"/>
              </w:rPr>
              <w:t xml:space="preserve">KW </w:t>
            </w:r>
            <w:r w:rsidR="00BD2460" w:rsidRPr="00863126">
              <w:rPr>
                <w:b/>
                <w:sz w:val="20"/>
              </w:rPr>
              <w:t>01/2026</w:t>
            </w:r>
          </w:p>
          <w:p w:rsidR="006F3A54" w:rsidRPr="00BD2460" w:rsidRDefault="006F3A54" w:rsidP="00621A4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621A46" w:rsidRDefault="00621A46" w:rsidP="00621A46">
            <w:pPr>
              <w:rPr>
                <w:sz w:val="20"/>
              </w:rPr>
            </w:pPr>
          </w:p>
          <w:p w:rsidR="00621A46" w:rsidRPr="006E0575" w:rsidRDefault="00863126" w:rsidP="00863126">
            <w:pPr>
              <w:rPr>
                <w:sz w:val="20"/>
              </w:rPr>
            </w:pPr>
            <w:r>
              <w:rPr>
                <w:sz w:val="20"/>
              </w:rPr>
              <w:t>88</w:t>
            </w:r>
            <w:r w:rsidR="00BD2460">
              <w:rPr>
                <w:sz w:val="20"/>
              </w:rPr>
              <w:t>.</w:t>
            </w:r>
            <w:r>
              <w:rPr>
                <w:sz w:val="20"/>
              </w:rPr>
              <w:t>800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BD2460" w:rsidRDefault="00863126" w:rsidP="00BD246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Stelle wurde zum DHH 2014/</w:t>
      </w:r>
      <w:r w:rsidR="000F1B74" w:rsidRPr="000F1B74">
        <w:rPr>
          <w:rFonts w:cs="Arial"/>
        </w:rPr>
        <w:t xml:space="preserve">2015 geschaffen, da das strategische Flächenmanagement ein unverzichtbarer Bestandteil eines professionellen Immobilienmanagements darstellt. Die Einrichtung eines strategischen Flächenmanagements entspricht auch dem Ergebnis der in 2013 durchgeführten Evaluation. </w:t>
      </w:r>
    </w:p>
    <w:p w:rsidR="00960806" w:rsidRDefault="00960806" w:rsidP="00BD2460">
      <w:pPr>
        <w:autoSpaceDE w:val="0"/>
        <w:autoSpaceDN w:val="0"/>
        <w:adjustRightInd w:val="0"/>
        <w:rPr>
          <w:rFonts w:cs="Arial"/>
        </w:rPr>
      </w:pPr>
    </w:p>
    <w:p w:rsidR="00960806" w:rsidRDefault="00960806" w:rsidP="00BD246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Das Aufgabengebiet umfasst: </w:t>
      </w:r>
    </w:p>
    <w:p w:rsidR="00960806" w:rsidRDefault="00960806" w:rsidP="00BD2460">
      <w:pPr>
        <w:autoSpaceDE w:val="0"/>
        <w:autoSpaceDN w:val="0"/>
        <w:adjustRightInd w:val="0"/>
        <w:rPr>
          <w:rFonts w:cs="Arial"/>
        </w:rPr>
      </w:pP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 w:rsidRPr="00960806">
        <w:rPr>
          <w:rFonts w:cs="Arial"/>
        </w:rPr>
        <w:t>Mitwirkung bei der Strategie- und Zielfestl</w:t>
      </w:r>
      <w:r>
        <w:rPr>
          <w:rFonts w:cs="Arial"/>
        </w:rPr>
        <w:t>egung des Immobilienmanagements;</w:t>
      </w: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 w:rsidRPr="00960806">
        <w:rPr>
          <w:rFonts w:cs="Arial"/>
        </w:rPr>
        <w:t>Zusammenstellung der Daten für Planung (Instandhaltung, Verwertung, Flächen</w:t>
      </w:r>
      <w:r w:rsidR="00863126">
        <w:rPr>
          <w:rFonts w:cs="Arial"/>
        </w:rPr>
        <w:t>,</w:t>
      </w:r>
      <w:r w:rsidRPr="00960806">
        <w:rPr>
          <w:rFonts w:cs="Arial"/>
        </w:rPr>
        <w:t xml:space="preserve"> etc.)</w:t>
      </w:r>
      <w:r>
        <w:rPr>
          <w:rFonts w:cs="Arial"/>
        </w:rPr>
        <w:t>;</w:t>
      </w: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Qualitätsmanagement Instandhaltungsmaßnahmenliste;</w:t>
      </w: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Erstellung von Konzepten für Flächen- und Bestandsmanagement</w:t>
      </w: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Darstellung von Portfolio- und Bestandsoptimierungen;</w:t>
      </w: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Erstellung von Konzepten für herausgehobene Einzelobjekte;</w:t>
      </w: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 xml:space="preserve">Flächenwirtschaftlichkeit im Gesamtbestand (qualitativ/quantitativ), </w:t>
      </w:r>
      <w:r w:rsidRPr="00960806">
        <w:rPr>
          <w:rFonts w:cs="Arial"/>
        </w:rPr>
        <w:t>Durchführung von Wirtschaftlichkeitsberechnungen</w:t>
      </w:r>
      <w:r>
        <w:rPr>
          <w:rFonts w:cs="Arial"/>
        </w:rPr>
        <w:t>;</w:t>
      </w: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Pflege Verwertungsliste (unbebaute und bebaute Liegenschaften);</w:t>
      </w:r>
    </w:p>
    <w:p w:rsidR="00960806" w:rsidRPr="00960806" w:rsidRDefault="00960806" w:rsidP="0096080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Vorbereitung des Haushalts als Beitrag der Fachabteilung.</w:t>
      </w:r>
    </w:p>
    <w:p w:rsidR="00BD2460" w:rsidRPr="000F1B74" w:rsidRDefault="00BD2460" w:rsidP="00BD2460">
      <w:pPr>
        <w:autoSpaceDE w:val="0"/>
        <w:autoSpaceDN w:val="0"/>
        <w:adjustRightInd w:val="0"/>
        <w:rPr>
          <w:rFonts w:cs="Arial"/>
        </w:rPr>
      </w:pPr>
    </w:p>
    <w:p w:rsidR="000F1B74" w:rsidRDefault="00BD2460" w:rsidP="00BD2460">
      <w:pPr>
        <w:autoSpaceDE w:val="0"/>
        <w:autoSpaceDN w:val="0"/>
        <w:adjustRightInd w:val="0"/>
        <w:rPr>
          <w:rFonts w:cs="Arial"/>
        </w:rPr>
      </w:pPr>
      <w:r w:rsidRPr="000F1B74">
        <w:rPr>
          <w:rFonts w:cs="Arial"/>
        </w:rPr>
        <w:t>Aktuell ist die Datenbasis des Liegenschaftsamtes zu den einzelne</w:t>
      </w:r>
      <w:r w:rsidR="000F1B74">
        <w:rPr>
          <w:rFonts w:cs="Arial"/>
        </w:rPr>
        <w:t xml:space="preserve">n Gebäuden noch sehr heterogen. </w:t>
      </w:r>
      <w:r w:rsidRPr="000F1B74">
        <w:rPr>
          <w:rFonts w:cs="Arial"/>
        </w:rPr>
        <w:t>Zwar werden die jeweiligen Zahlungsströme zu einer Immobil</w:t>
      </w:r>
      <w:r w:rsidR="000F1B74">
        <w:rPr>
          <w:rFonts w:cs="Arial"/>
        </w:rPr>
        <w:t>ie (An-/</w:t>
      </w:r>
      <w:r w:rsidR="00863126">
        <w:rPr>
          <w:rFonts w:cs="Arial"/>
        </w:rPr>
        <w:t xml:space="preserve"> </w:t>
      </w:r>
      <w:r w:rsidR="000F1B74">
        <w:rPr>
          <w:rFonts w:cs="Arial"/>
        </w:rPr>
        <w:t xml:space="preserve">Vermietkosten, laufende </w:t>
      </w:r>
      <w:r w:rsidRPr="000F1B74">
        <w:rPr>
          <w:rFonts w:cs="Arial"/>
        </w:rPr>
        <w:t>Bewirtschaftungskosten, Bauunterhaltung) über das Modul SAP-RE</w:t>
      </w:r>
      <w:r w:rsidR="000F1B74">
        <w:rPr>
          <w:rFonts w:cs="Arial"/>
        </w:rPr>
        <w:t>/FX abgebildet, weitere darüberhinausgehende</w:t>
      </w:r>
      <w:r w:rsidRPr="000F1B74">
        <w:rPr>
          <w:rFonts w:cs="Arial"/>
        </w:rPr>
        <w:t xml:space="preserve"> Lebenszyklusdaten (Baujahr, Technische Aus</w:t>
      </w:r>
      <w:r w:rsidR="000F1B74">
        <w:rPr>
          <w:rFonts w:cs="Arial"/>
        </w:rPr>
        <w:t xml:space="preserve">stattung und deren Lebensdauer, </w:t>
      </w:r>
      <w:r w:rsidRPr="000F1B74">
        <w:rPr>
          <w:rFonts w:cs="Arial"/>
        </w:rPr>
        <w:t>Belegungsszenarien) stehen dagegen (wenn überhaupt) nur in Excel-Listen oder Papierform (Ordner)</w:t>
      </w:r>
      <w:r w:rsidR="000F1B74">
        <w:rPr>
          <w:rFonts w:cs="Arial"/>
        </w:rPr>
        <w:t xml:space="preserve"> </w:t>
      </w:r>
      <w:r w:rsidRPr="000F1B74">
        <w:rPr>
          <w:rFonts w:cs="Arial"/>
        </w:rPr>
        <w:t xml:space="preserve">zur Verfügung. Es liegt noch kein </w:t>
      </w:r>
      <w:r w:rsidR="000F1B74">
        <w:rPr>
          <w:rFonts w:cs="Arial"/>
        </w:rPr>
        <w:t xml:space="preserve">fertiges </w:t>
      </w:r>
      <w:r w:rsidRPr="000F1B74">
        <w:rPr>
          <w:rFonts w:cs="Arial"/>
        </w:rPr>
        <w:t>Konzept in Bezug auf die Digitalis</w:t>
      </w:r>
      <w:r w:rsidR="000F1B74">
        <w:rPr>
          <w:rFonts w:cs="Arial"/>
        </w:rPr>
        <w:t xml:space="preserve">ierung, Zur-Verfügung-Stellung, </w:t>
      </w:r>
      <w:r w:rsidRPr="000F1B74">
        <w:rPr>
          <w:rFonts w:cs="Arial"/>
        </w:rPr>
        <w:t xml:space="preserve">Auswertung </w:t>
      </w:r>
      <w:r w:rsidR="000F1B74">
        <w:rPr>
          <w:rFonts w:cs="Arial"/>
        </w:rPr>
        <w:t>und Verarbeitung der Daten vor.</w:t>
      </w:r>
    </w:p>
    <w:p w:rsidR="000F1B74" w:rsidRDefault="000F1B74" w:rsidP="00BD2460">
      <w:pPr>
        <w:autoSpaceDE w:val="0"/>
        <w:autoSpaceDN w:val="0"/>
        <w:adjustRightInd w:val="0"/>
        <w:rPr>
          <w:rFonts w:cs="Arial"/>
        </w:rPr>
      </w:pPr>
    </w:p>
    <w:p w:rsidR="00960806" w:rsidRPr="000F1B74" w:rsidRDefault="000F1B74" w:rsidP="000F1B7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Es </w:t>
      </w:r>
      <w:r w:rsidR="00BD2460" w:rsidRPr="000F1B74">
        <w:rPr>
          <w:rFonts w:cs="Arial"/>
        </w:rPr>
        <w:t>wird aktiv an</w:t>
      </w:r>
      <w:r>
        <w:rPr>
          <w:rFonts w:cs="Arial"/>
        </w:rPr>
        <w:t xml:space="preserve"> der Implementierung geeigneter </w:t>
      </w:r>
      <w:r w:rsidR="00BD2460" w:rsidRPr="000F1B74">
        <w:rPr>
          <w:rFonts w:cs="Arial"/>
        </w:rPr>
        <w:t xml:space="preserve">Programme (SAP-PM, CAFM-Module, iFMS) gearbeitet, </w:t>
      </w:r>
      <w:r w:rsidR="00863126">
        <w:rPr>
          <w:rFonts w:cs="Arial"/>
        </w:rPr>
        <w:t>jedoch</w:t>
      </w:r>
      <w:r w:rsidR="00BD2460" w:rsidRPr="000F1B74">
        <w:rPr>
          <w:rFonts w:cs="Arial"/>
        </w:rPr>
        <w:t xml:space="preserve"> sin</w:t>
      </w:r>
      <w:r>
        <w:rPr>
          <w:rFonts w:cs="Arial"/>
        </w:rPr>
        <w:t xml:space="preserve">d diese Systeme bis heute nicht eingeführt oder implementiert. </w:t>
      </w:r>
      <w:r w:rsidR="00BD2460" w:rsidRPr="000F1B74">
        <w:rPr>
          <w:rFonts w:cs="Arial"/>
        </w:rPr>
        <w:t>Eine umfassende Datenhaltung ist allerdings Voraussetzung für d</w:t>
      </w:r>
      <w:r>
        <w:rPr>
          <w:rFonts w:cs="Arial"/>
        </w:rPr>
        <w:t xml:space="preserve">ie Erstellung von strategischen </w:t>
      </w:r>
      <w:r w:rsidR="00BD2460" w:rsidRPr="000F1B74">
        <w:rPr>
          <w:rFonts w:cs="Arial"/>
        </w:rPr>
        <w:t>Konzepten, Wirtschaftlichkeitsbetrachtungen und übergeordneten Verwertungsstrategien.</w:t>
      </w:r>
      <w:r w:rsidR="00960806">
        <w:rPr>
          <w:rFonts w:cs="Arial"/>
        </w:rPr>
        <w:t xml:space="preserve"> Dies erfordert die Verlängerung des Vermerks an der Stelle um weitere 2 Jahre.</w:t>
      </w:r>
    </w:p>
    <w:sectPr w:rsidR="00960806" w:rsidRPr="000F1B74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82" w:rsidRDefault="00290982">
      <w:r>
        <w:separator/>
      </w:r>
    </w:p>
  </w:endnote>
  <w:endnote w:type="continuationSeparator" w:id="0">
    <w:p w:rsidR="00290982" w:rsidRDefault="0029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82" w:rsidRDefault="00290982">
      <w:r>
        <w:separator/>
      </w:r>
    </w:p>
  </w:footnote>
  <w:footnote w:type="continuationSeparator" w:id="0">
    <w:p w:rsidR="00290982" w:rsidRDefault="0029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127AD7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8C36B0"/>
    <w:multiLevelType w:val="hybridMultilevel"/>
    <w:tmpl w:val="05AC199A"/>
    <w:lvl w:ilvl="0" w:tplc="D62628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65140C5"/>
    <w:multiLevelType w:val="hybridMultilevel"/>
    <w:tmpl w:val="FC5A9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82"/>
    <w:rsid w:val="0007798B"/>
    <w:rsid w:val="000A1146"/>
    <w:rsid w:val="000D6946"/>
    <w:rsid w:val="000E4C4B"/>
    <w:rsid w:val="000F1B74"/>
    <w:rsid w:val="00100866"/>
    <w:rsid w:val="00127258"/>
    <w:rsid w:val="00127AD7"/>
    <w:rsid w:val="00153F44"/>
    <w:rsid w:val="00165C0D"/>
    <w:rsid w:val="00181578"/>
    <w:rsid w:val="00181857"/>
    <w:rsid w:val="00193A16"/>
    <w:rsid w:val="001D2FD2"/>
    <w:rsid w:val="001D767C"/>
    <w:rsid w:val="0020641B"/>
    <w:rsid w:val="00213C7A"/>
    <w:rsid w:val="00215971"/>
    <w:rsid w:val="00224A04"/>
    <w:rsid w:val="00231CC1"/>
    <w:rsid w:val="0023350C"/>
    <w:rsid w:val="002402DD"/>
    <w:rsid w:val="002420CA"/>
    <w:rsid w:val="002812E4"/>
    <w:rsid w:val="00290982"/>
    <w:rsid w:val="002924CB"/>
    <w:rsid w:val="002C03BA"/>
    <w:rsid w:val="002C2ECA"/>
    <w:rsid w:val="002C36F1"/>
    <w:rsid w:val="002E14E4"/>
    <w:rsid w:val="002E442C"/>
    <w:rsid w:val="00303DAD"/>
    <w:rsid w:val="00321D15"/>
    <w:rsid w:val="00392ACD"/>
    <w:rsid w:val="00394BB8"/>
    <w:rsid w:val="003B4312"/>
    <w:rsid w:val="003C05EE"/>
    <w:rsid w:val="003D7B0B"/>
    <w:rsid w:val="004054DF"/>
    <w:rsid w:val="00430818"/>
    <w:rsid w:val="00436B6D"/>
    <w:rsid w:val="00450F8F"/>
    <w:rsid w:val="00465C46"/>
    <w:rsid w:val="004A6E7A"/>
    <w:rsid w:val="004B6796"/>
    <w:rsid w:val="004F791E"/>
    <w:rsid w:val="005856C2"/>
    <w:rsid w:val="005F043E"/>
    <w:rsid w:val="006134E1"/>
    <w:rsid w:val="00621A46"/>
    <w:rsid w:val="00666CE4"/>
    <w:rsid w:val="00667CBD"/>
    <w:rsid w:val="00694161"/>
    <w:rsid w:val="006A55CB"/>
    <w:rsid w:val="006E0575"/>
    <w:rsid w:val="006F3A54"/>
    <w:rsid w:val="00723653"/>
    <w:rsid w:val="00765A5D"/>
    <w:rsid w:val="00781F32"/>
    <w:rsid w:val="007879B1"/>
    <w:rsid w:val="007B200C"/>
    <w:rsid w:val="007B57B1"/>
    <w:rsid w:val="00856812"/>
    <w:rsid w:val="00863126"/>
    <w:rsid w:val="00884D6C"/>
    <w:rsid w:val="00896BFF"/>
    <w:rsid w:val="008C766A"/>
    <w:rsid w:val="008F409A"/>
    <w:rsid w:val="00954A37"/>
    <w:rsid w:val="00960806"/>
    <w:rsid w:val="009C0C44"/>
    <w:rsid w:val="00A1159D"/>
    <w:rsid w:val="00A210AF"/>
    <w:rsid w:val="00A34898"/>
    <w:rsid w:val="00A4179B"/>
    <w:rsid w:val="00A509C5"/>
    <w:rsid w:val="00A77F1E"/>
    <w:rsid w:val="00A833A7"/>
    <w:rsid w:val="00A83599"/>
    <w:rsid w:val="00AD784D"/>
    <w:rsid w:val="00AE10D7"/>
    <w:rsid w:val="00B04290"/>
    <w:rsid w:val="00B45BDD"/>
    <w:rsid w:val="00B66C18"/>
    <w:rsid w:val="00B72D18"/>
    <w:rsid w:val="00B80DEF"/>
    <w:rsid w:val="00BD2460"/>
    <w:rsid w:val="00BF209E"/>
    <w:rsid w:val="00C074C7"/>
    <w:rsid w:val="00C22628"/>
    <w:rsid w:val="00C304A9"/>
    <w:rsid w:val="00C33C9C"/>
    <w:rsid w:val="00C448D3"/>
    <w:rsid w:val="00C6569F"/>
    <w:rsid w:val="00C777D6"/>
    <w:rsid w:val="00C91E57"/>
    <w:rsid w:val="00CB2656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1086B"/>
    <w:rsid w:val="00F27657"/>
    <w:rsid w:val="00F3775A"/>
    <w:rsid w:val="00FC24F0"/>
    <w:rsid w:val="00FC6B9D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81331"/>
  <w15:docId w15:val="{6CAE63AE-EE98-4E40-AFD7-19547B1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21A46"/>
    <w:pPr>
      <w:ind w:left="720"/>
      <w:contextualSpacing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31C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3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30005\Downloads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6276250-9955-4693-84A2-4A0131AC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2</Pages>
  <Words>261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Rüdiger, Doris</dc:creator>
  <dc:description/>
  <cp:lastModifiedBy>Baumann, Gerhard</cp:lastModifiedBy>
  <cp:revision>9</cp:revision>
  <cp:lastPrinted>2023-09-27T10:21:00Z</cp:lastPrinted>
  <dcterms:created xsi:type="dcterms:W3CDTF">2023-07-26T12:54:00Z</dcterms:created>
  <dcterms:modified xsi:type="dcterms:W3CDTF">2023-09-27T10:21:00Z</dcterms:modified>
</cp:coreProperties>
</file>