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C22A4">
        <w:t>14</w:t>
      </w:r>
      <w:r w:rsidRPr="006E0575">
        <w:t xml:space="preserve"> zur GRDrs</w:t>
      </w:r>
      <w:r w:rsidR="00120B04">
        <w:t>.</w:t>
      </w:r>
      <w:r w:rsidRPr="006E0575">
        <w:t xml:space="preserve"> </w:t>
      </w:r>
      <w:r w:rsidR="00120B04">
        <w:t>820</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06119">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292B7C">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292B7C" w:rsidRPr="006E0575" w:rsidTr="00292B7C">
        <w:tc>
          <w:tcPr>
            <w:tcW w:w="1701" w:type="dxa"/>
          </w:tcPr>
          <w:p w:rsidR="00292B7C" w:rsidRDefault="00292B7C" w:rsidP="00292B7C">
            <w:pPr>
              <w:rPr>
                <w:sz w:val="20"/>
              </w:rPr>
            </w:pPr>
          </w:p>
          <w:p w:rsidR="00D10EDA" w:rsidRPr="009B4607" w:rsidRDefault="00292B7C" w:rsidP="00292B7C">
            <w:pPr>
              <w:rPr>
                <w:sz w:val="20"/>
              </w:rPr>
            </w:pPr>
            <w:r w:rsidRPr="009B4607">
              <w:rPr>
                <w:sz w:val="20"/>
              </w:rPr>
              <w:t>23-2</w:t>
            </w:r>
          </w:p>
          <w:p w:rsidR="00292B7C" w:rsidRDefault="00292B7C" w:rsidP="00292B7C">
            <w:pPr>
              <w:rPr>
                <w:sz w:val="20"/>
              </w:rPr>
            </w:pPr>
          </w:p>
          <w:p w:rsidR="00574FE2" w:rsidRDefault="00120B04" w:rsidP="00574FE2">
            <w:pPr>
              <w:rPr>
                <w:sz w:val="20"/>
              </w:rPr>
            </w:pPr>
            <w:r>
              <w:rPr>
                <w:sz w:val="20"/>
              </w:rPr>
              <w:t>2320 1000</w:t>
            </w:r>
          </w:p>
          <w:p w:rsidR="00292B7C" w:rsidRPr="006E0575" w:rsidRDefault="00292B7C" w:rsidP="00292B7C">
            <w:pPr>
              <w:rPr>
                <w:sz w:val="20"/>
              </w:rPr>
            </w:pPr>
          </w:p>
        </w:tc>
        <w:tc>
          <w:tcPr>
            <w:tcW w:w="1701" w:type="dxa"/>
          </w:tcPr>
          <w:p w:rsidR="00292B7C" w:rsidRDefault="00292B7C" w:rsidP="00292B7C">
            <w:pPr>
              <w:rPr>
                <w:sz w:val="20"/>
              </w:rPr>
            </w:pPr>
          </w:p>
          <w:p w:rsidR="00292B7C" w:rsidRPr="006E0575" w:rsidRDefault="00292B7C" w:rsidP="00292B7C">
            <w:pPr>
              <w:rPr>
                <w:sz w:val="20"/>
              </w:rPr>
            </w:pPr>
            <w:r>
              <w:rPr>
                <w:sz w:val="20"/>
              </w:rPr>
              <w:t>Liegenschaftsamt</w:t>
            </w:r>
          </w:p>
        </w:tc>
        <w:tc>
          <w:tcPr>
            <w:tcW w:w="851" w:type="dxa"/>
          </w:tcPr>
          <w:p w:rsidR="00292B7C" w:rsidRDefault="00292B7C" w:rsidP="00292B7C">
            <w:pPr>
              <w:jc w:val="center"/>
              <w:rPr>
                <w:sz w:val="20"/>
              </w:rPr>
            </w:pPr>
          </w:p>
          <w:p w:rsidR="00292B7C" w:rsidRDefault="00D10EDA" w:rsidP="00D10EDA">
            <w:pPr>
              <w:jc w:val="center"/>
              <w:rPr>
                <w:sz w:val="20"/>
              </w:rPr>
            </w:pPr>
            <w:r>
              <w:rPr>
                <w:sz w:val="20"/>
              </w:rPr>
              <w:t>A 11</w:t>
            </w:r>
          </w:p>
          <w:p w:rsidR="00292B7C" w:rsidRDefault="00292B7C" w:rsidP="00292B7C">
            <w:pPr>
              <w:jc w:val="center"/>
              <w:rPr>
                <w:sz w:val="20"/>
              </w:rPr>
            </w:pPr>
          </w:p>
          <w:p w:rsidR="00292B7C" w:rsidRPr="006E0575" w:rsidRDefault="00292B7C" w:rsidP="00292B7C">
            <w:pPr>
              <w:jc w:val="center"/>
              <w:rPr>
                <w:sz w:val="20"/>
              </w:rPr>
            </w:pPr>
          </w:p>
        </w:tc>
        <w:tc>
          <w:tcPr>
            <w:tcW w:w="1701" w:type="dxa"/>
          </w:tcPr>
          <w:p w:rsidR="00292B7C" w:rsidRDefault="00292B7C" w:rsidP="00292B7C">
            <w:pPr>
              <w:rPr>
                <w:sz w:val="20"/>
              </w:rPr>
            </w:pPr>
          </w:p>
          <w:p w:rsidR="00292B7C" w:rsidRDefault="00120B04" w:rsidP="00292B7C">
            <w:pPr>
              <w:rPr>
                <w:sz w:val="20"/>
              </w:rPr>
            </w:pPr>
            <w:r>
              <w:rPr>
                <w:sz w:val="20"/>
              </w:rPr>
              <w:t>Sachbearbeiter/ -</w:t>
            </w:r>
            <w:r w:rsidR="00D10EDA">
              <w:rPr>
                <w:sz w:val="20"/>
              </w:rPr>
              <w:t xml:space="preserve">in </w:t>
            </w:r>
          </w:p>
          <w:p w:rsidR="00292B7C" w:rsidRDefault="00292B7C" w:rsidP="00292B7C">
            <w:pPr>
              <w:rPr>
                <w:sz w:val="20"/>
              </w:rPr>
            </w:pPr>
          </w:p>
          <w:p w:rsidR="00292B7C" w:rsidRPr="006E0575" w:rsidRDefault="00292B7C" w:rsidP="00292B7C">
            <w:pPr>
              <w:rPr>
                <w:sz w:val="20"/>
              </w:rPr>
            </w:pPr>
          </w:p>
        </w:tc>
        <w:tc>
          <w:tcPr>
            <w:tcW w:w="851" w:type="dxa"/>
            <w:shd w:val="pct12" w:color="auto" w:fill="FFFFFF"/>
          </w:tcPr>
          <w:p w:rsidR="00292B7C" w:rsidRDefault="00292B7C" w:rsidP="00292B7C">
            <w:pPr>
              <w:jc w:val="center"/>
              <w:rPr>
                <w:sz w:val="20"/>
              </w:rPr>
            </w:pPr>
          </w:p>
          <w:p w:rsidR="00292B7C" w:rsidRPr="009B4607" w:rsidRDefault="0098697D" w:rsidP="00292B7C">
            <w:pPr>
              <w:jc w:val="center"/>
              <w:rPr>
                <w:sz w:val="20"/>
              </w:rPr>
            </w:pPr>
            <w:r w:rsidRPr="009B4607">
              <w:rPr>
                <w:sz w:val="20"/>
              </w:rPr>
              <w:t>1,5</w:t>
            </w:r>
          </w:p>
          <w:p w:rsidR="00292B7C" w:rsidRDefault="00292B7C" w:rsidP="00292B7C">
            <w:pPr>
              <w:jc w:val="center"/>
              <w:rPr>
                <w:sz w:val="20"/>
              </w:rPr>
            </w:pPr>
          </w:p>
          <w:p w:rsidR="00292B7C" w:rsidRDefault="00292B7C" w:rsidP="00292B7C">
            <w:pPr>
              <w:jc w:val="center"/>
              <w:rPr>
                <w:sz w:val="20"/>
              </w:rPr>
            </w:pPr>
          </w:p>
          <w:p w:rsidR="00292B7C" w:rsidRPr="006E0575" w:rsidRDefault="00292B7C" w:rsidP="00292B7C">
            <w:pPr>
              <w:jc w:val="center"/>
              <w:rPr>
                <w:sz w:val="20"/>
              </w:rPr>
            </w:pPr>
          </w:p>
        </w:tc>
        <w:tc>
          <w:tcPr>
            <w:tcW w:w="1134" w:type="dxa"/>
          </w:tcPr>
          <w:p w:rsidR="00292B7C" w:rsidRDefault="00292B7C" w:rsidP="00292B7C">
            <w:pPr>
              <w:rPr>
                <w:sz w:val="20"/>
              </w:rPr>
            </w:pPr>
          </w:p>
          <w:p w:rsidR="00292B7C" w:rsidRPr="006E0575" w:rsidRDefault="00120B04" w:rsidP="00120B04">
            <w:pPr>
              <w:rPr>
                <w:sz w:val="20"/>
              </w:rPr>
            </w:pPr>
            <w:r>
              <w:rPr>
                <w:sz w:val="20"/>
              </w:rPr>
              <w:t xml:space="preserve">KW </w:t>
            </w:r>
            <w:r w:rsidR="00D10EDA">
              <w:rPr>
                <w:sz w:val="20"/>
              </w:rPr>
              <w:t>01/2028</w:t>
            </w:r>
          </w:p>
        </w:tc>
        <w:tc>
          <w:tcPr>
            <w:tcW w:w="1588" w:type="dxa"/>
          </w:tcPr>
          <w:p w:rsidR="00292B7C" w:rsidRDefault="00292B7C" w:rsidP="00292B7C">
            <w:pPr>
              <w:jc w:val="center"/>
              <w:rPr>
                <w:sz w:val="20"/>
              </w:rPr>
            </w:pPr>
          </w:p>
          <w:p w:rsidR="00B61666" w:rsidRPr="006E0575" w:rsidRDefault="00120B04" w:rsidP="00120B04">
            <w:pPr>
              <w:rPr>
                <w:sz w:val="20"/>
              </w:rPr>
            </w:pPr>
            <w:r>
              <w:rPr>
                <w:sz w:val="20"/>
              </w:rPr>
              <w:t>156.600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D10EDA" w:rsidRPr="004161BB" w:rsidRDefault="00D10EDA" w:rsidP="00884D6C">
      <w:r>
        <w:rPr>
          <w:rFonts w:cs="Arial"/>
        </w:rPr>
        <w:t>F</w:t>
      </w:r>
      <w:r w:rsidRPr="002D6035">
        <w:rPr>
          <w:rFonts w:cs="Arial"/>
        </w:rPr>
        <w:t>ür d</w:t>
      </w:r>
      <w:r w:rsidR="004161BB">
        <w:rPr>
          <w:rFonts w:cs="Arial"/>
        </w:rPr>
        <w:t>ie Verwaltung von städtischen</w:t>
      </w:r>
      <w:r>
        <w:rPr>
          <w:rFonts w:cs="Arial"/>
        </w:rPr>
        <w:t xml:space="preserve"> Erbbaurechtsgrundstücken, insbesondere für die Durchführung von Erbbauzinserhöhungen</w:t>
      </w:r>
      <w:r w:rsidR="004161BB">
        <w:rPr>
          <w:rFonts w:cs="Arial"/>
        </w:rPr>
        <w:t>,</w:t>
      </w:r>
      <w:r>
        <w:t xml:space="preserve"> wird der Schaffung von 1,5 Stellen in A 11 in der Abteilung </w:t>
      </w:r>
      <w:r w:rsidR="004161BB" w:rsidRPr="002D6035">
        <w:rPr>
          <w:rFonts w:cs="Arial"/>
        </w:rPr>
        <w:t>Grundstücksverkehr</w:t>
      </w:r>
      <w:r w:rsidR="004161BB">
        <w:rPr>
          <w:rFonts w:cs="Arial"/>
        </w:rPr>
        <w:t xml:space="preserve"> (23-2) des Liegenschaftsamtes </w:t>
      </w:r>
      <w:r>
        <w:t>zugestimmt</w:t>
      </w:r>
      <w:r w:rsidR="004161BB">
        <w:t xml:space="preserve">. </w:t>
      </w:r>
    </w:p>
    <w:p w:rsidR="003D7B0B" w:rsidRDefault="003D7B0B" w:rsidP="00884D6C">
      <w:pPr>
        <w:pStyle w:val="berschrift1"/>
      </w:pPr>
      <w:r>
        <w:t>2</w:t>
      </w:r>
      <w:r>
        <w:tab/>
        <w:t>Schaffun</w:t>
      </w:r>
      <w:r w:rsidRPr="00884D6C">
        <w:rPr>
          <w:u w:val="none"/>
        </w:rPr>
        <w:t>g</w:t>
      </w:r>
      <w:r>
        <w:t>skriterien</w:t>
      </w:r>
    </w:p>
    <w:p w:rsidR="003D7B0B" w:rsidRDefault="003D7B0B" w:rsidP="00884D6C"/>
    <w:p w:rsidR="00D10EDA" w:rsidRDefault="00D10EDA" w:rsidP="009F3687">
      <w:r>
        <w:t>Das Kriterium „</w:t>
      </w:r>
      <w:r w:rsidRPr="009B380C">
        <w:t>vom Gemeinderat beschlossene neue bzw. erweiterte Aufgaben oder Einrichtungen</w:t>
      </w:r>
      <w:r>
        <w:t>“ wird erfüllt.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C23CC8" w:rsidRDefault="00C23CC8" w:rsidP="00C23CC8">
      <w:pPr>
        <w:widowControl w:val="0"/>
        <w:autoSpaceDE w:val="0"/>
        <w:autoSpaceDN w:val="0"/>
        <w:adjustRightInd w:val="0"/>
      </w:pPr>
      <w:r>
        <w:t>Die Landeshauptstadt Stuttgart hat derzeit rd</w:t>
      </w:r>
      <w:r w:rsidRPr="000F10B7">
        <w:t xml:space="preserve">.1.800 Erbbaurechte </w:t>
      </w:r>
      <w:r>
        <w:t xml:space="preserve">auf städtischen Grundstücken an Dritte vergeben. Die Inhalte dieser bestehenden Erbbaurechte </w:t>
      </w:r>
      <w:r>
        <w:br/>
        <w:t>(= Nutzungen) reichen dabei von Wohnen, über soziale, kulturelle, schulische oder sportliche Zwecke bis hin zu gewerblichen Erbbaurechten wie Tiefgaragen, etc.</w:t>
      </w:r>
    </w:p>
    <w:p w:rsidR="00C23CC8" w:rsidRDefault="00C23CC8" w:rsidP="00C23CC8">
      <w:pPr>
        <w:widowControl w:val="0"/>
        <w:autoSpaceDE w:val="0"/>
        <w:autoSpaceDN w:val="0"/>
        <w:adjustRightInd w:val="0"/>
      </w:pPr>
    </w:p>
    <w:p w:rsidR="00C23CC8" w:rsidRDefault="00C23CC8" w:rsidP="00C23CC8">
      <w:pPr>
        <w:widowControl w:val="0"/>
        <w:autoSpaceDE w:val="0"/>
        <w:autoSpaceDN w:val="0"/>
        <w:adjustRightInd w:val="0"/>
      </w:pPr>
      <w:r>
        <w:t xml:space="preserve">Als Gegenleistung für die Grundstücksnutzung ist der Erbbauberechtigte verpflichtet, einen Erbbauzins an die Landeshauptstadt Stuttgart zu leisten, ähnlich wie die </w:t>
      </w:r>
      <w:proofErr w:type="spellStart"/>
      <w:r>
        <w:t>Ver</w:t>
      </w:r>
      <w:proofErr w:type="spellEnd"/>
      <w:r>
        <w:t>-</w:t>
      </w:r>
      <w:r>
        <w:br/>
      </w:r>
      <w:proofErr w:type="spellStart"/>
      <w:r>
        <w:t>einnahmung</w:t>
      </w:r>
      <w:proofErr w:type="spellEnd"/>
      <w:r>
        <w:t xml:space="preserve"> von Mietzahlungen bei einem Miet-/Pachtverhältnis. Die Erbbauzinsen werden dabei – je nach vertraglicher Regelung – jährlich, halbjäh</w:t>
      </w:r>
      <w:r w:rsidR="003A34C9">
        <w:t>rlich oder quartalsweise fällig.</w:t>
      </w:r>
      <w:r>
        <w:t xml:space="preserve"> </w:t>
      </w:r>
    </w:p>
    <w:p w:rsidR="00C23CC8" w:rsidRDefault="00C23CC8" w:rsidP="00C23CC8">
      <w:pPr>
        <w:widowControl w:val="0"/>
        <w:autoSpaceDE w:val="0"/>
        <w:autoSpaceDN w:val="0"/>
        <w:adjustRightInd w:val="0"/>
      </w:pPr>
    </w:p>
    <w:p w:rsidR="00C23CC8" w:rsidRDefault="00C23CC8" w:rsidP="00C23CC8">
      <w:pPr>
        <w:widowControl w:val="0"/>
        <w:autoSpaceDE w:val="0"/>
        <w:autoSpaceDN w:val="0"/>
        <w:adjustRightInd w:val="0"/>
      </w:pPr>
      <w:r>
        <w:t>Der jeweilige Erbbauzins basiert auf dem vom Stadtmessungsamt der Landeshauptstadt Stuttgart ermittelten Verkehrswert für das Erbbaugrundstück und den Beschlüssen des Gemeinderats bezüglich der Höhe der Erbbauzinsen, zuletzt in der Grundsatzvorlage zur Neuausrichtung der Bodenpolitik (GRDrs</w:t>
      </w:r>
      <w:r w:rsidR="00120B04">
        <w:t>.</w:t>
      </w:r>
      <w:r>
        <w:t xml:space="preserve"> 146/2021 Neufassung).</w:t>
      </w:r>
    </w:p>
    <w:p w:rsidR="00C23CC8" w:rsidRDefault="00C23CC8" w:rsidP="00C23CC8">
      <w:pPr>
        <w:widowControl w:val="0"/>
        <w:autoSpaceDE w:val="0"/>
        <w:autoSpaceDN w:val="0"/>
        <w:adjustRightInd w:val="0"/>
      </w:pPr>
    </w:p>
    <w:p w:rsidR="00C23CC8" w:rsidRDefault="00C23CC8" w:rsidP="00C23CC8">
      <w:pPr>
        <w:widowControl w:val="0"/>
        <w:autoSpaceDE w:val="0"/>
        <w:autoSpaceDN w:val="0"/>
        <w:adjustRightInd w:val="0"/>
      </w:pPr>
      <w:r>
        <w:t xml:space="preserve">Die vertraglichen Grundlagen in den jeweiligen Erbbaurechtsverträgen sehen eine </w:t>
      </w:r>
      <w:r>
        <w:br/>
        <w:t>regelmäßige Erhöhung der Erbbauzinsen bei Änderung der allgemeinen wirtschaftlichen Verhältnisse vor.</w:t>
      </w:r>
    </w:p>
    <w:p w:rsidR="00C23CC8" w:rsidRDefault="00C23CC8" w:rsidP="004161BB"/>
    <w:p w:rsidR="00F14D83" w:rsidRPr="00C23CC8" w:rsidRDefault="004161BB" w:rsidP="007378D4">
      <w:r>
        <w:t>In Folge der in erheblichem Maße gestiegenen Inflation und des entsprechend veränderten Verbraucherpreisindex des Statischen Landesamts für das Land Baden-</w:t>
      </w:r>
      <w:r>
        <w:br/>
        <w:t xml:space="preserve">Württemberg haben sich auch die Rahmenbedingungen für die Erhöhung von Erbbauzinsen im Vergleich zu den vergangenen Jahrzehnten </w:t>
      </w:r>
      <w:r w:rsidRPr="00E95132">
        <w:t xml:space="preserve">maßgeblich verändert. Der Zeitraum zwischen den durchzuführenden Erbbauzinserhöhungen hat sich von seither </w:t>
      </w:r>
      <w:r w:rsidRPr="00E95132">
        <w:br/>
        <w:t>ca. 6-10 Jahren auf 3 Jahre verkürzt. Durch die Verkürzung hat sich der Bearbeit</w:t>
      </w:r>
      <w:r w:rsidR="00C23CC8">
        <w:t>ungsaufwand bis zu verdreifacht.</w:t>
      </w:r>
      <w:r w:rsidRPr="00E95132">
        <w:t xml:space="preserve"> </w:t>
      </w:r>
      <w:r w:rsidR="0098697D" w:rsidRPr="009B4607">
        <w:t xml:space="preserve">Das bedeutet, dass nunmehr innerhalb der 3-Jahresspanne alle 1.800 Erbbaurechte zur Erhöhung der Erbbauzinsen </w:t>
      </w:r>
      <w:r w:rsidR="00B34465" w:rsidRPr="009B4607">
        <w:t>anstehen</w:t>
      </w:r>
      <w:r w:rsidR="0098697D" w:rsidRPr="009B4607">
        <w:t xml:space="preserve">. </w:t>
      </w:r>
      <w:r w:rsidR="009F3687" w:rsidRPr="009B4607">
        <w:t>Die Häufigkeit der Erbbauzinserhöhung verdoppel</w:t>
      </w:r>
      <w:r w:rsidR="00044382" w:rsidRPr="009B4607">
        <w:t>t bis v</w:t>
      </w:r>
      <w:r w:rsidR="009F3687" w:rsidRPr="009B4607">
        <w:t>erdreifach</w:t>
      </w:r>
      <w:r w:rsidR="00044382" w:rsidRPr="009B4607">
        <w:t>t sich damit</w:t>
      </w:r>
      <w:r w:rsidR="00B34465" w:rsidRPr="009B4607">
        <w:t xml:space="preserve"> zum seitherigen Anpassungszeitlauf</w:t>
      </w:r>
      <w:r w:rsidR="009F3687" w:rsidRPr="009B4607">
        <w:t>.</w:t>
      </w:r>
      <w:r w:rsidR="00B34465" w:rsidRPr="009B4607">
        <w:t xml:space="preserve"> </w:t>
      </w:r>
    </w:p>
    <w:p w:rsidR="0098697D" w:rsidRPr="009B4607" w:rsidRDefault="00F14D83" w:rsidP="00F14D83">
      <w:r w:rsidRPr="009B4607">
        <w:t>Davon ausgehend, dass eine Erbbauzinserhöhung mit sämtlichen erforderlichen Prüfungen, Versand, Beantwortung von Rückfragen/Einsprüchen, Überwachung und grundbuchrechtlichen Vollzug rund 3 Stunden/Einzelfall benötigt, ergibt sich bei einer angenommenen Anzahl von 600 Fällen/Jahr der dargestellte Stellenmehrbedarf.</w:t>
      </w:r>
    </w:p>
    <w:p w:rsidR="003D7B0B" w:rsidRPr="00106119" w:rsidRDefault="003D7B0B" w:rsidP="00165C0D">
      <w:pPr>
        <w:pStyle w:val="berschrift2"/>
      </w:pPr>
      <w:r w:rsidRPr="00106119">
        <w:t>3.2</w:t>
      </w:r>
      <w:r w:rsidRPr="00106119">
        <w:tab/>
        <w:t>Bisherige Aufgabenwahrnehmung</w:t>
      </w:r>
    </w:p>
    <w:p w:rsidR="003D7B0B" w:rsidRPr="00106119" w:rsidRDefault="003D7B0B" w:rsidP="00884D6C">
      <w:pPr>
        <w:rPr>
          <w:u w:val="single"/>
        </w:rPr>
      </w:pPr>
    </w:p>
    <w:p w:rsidR="009F3687" w:rsidRPr="006A5C83" w:rsidRDefault="009F3687" w:rsidP="009F3687">
      <w:r>
        <w:t>Die regelmäßigen Erbbauzinserhöhung</w:t>
      </w:r>
      <w:r w:rsidR="003A34C9">
        <w:t>en</w:t>
      </w:r>
      <w:bookmarkStart w:id="0" w:name="_GoBack"/>
      <w:bookmarkEnd w:id="0"/>
      <w:r>
        <w:t xml:space="preserve"> wurden bislang als Bestandteil der regulären Sachbearbeitung </w:t>
      </w:r>
      <w:r w:rsidRPr="006A5C83">
        <w:t xml:space="preserve">in den insgesamt drei Sachgebieten der Abteilung Grundstücksverkehr </w:t>
      </w:r>
      <w:r>
        <w:t>geprüft und durchgeführt.</w:t>
      </w:r>
      <w:r w:rsidRPr="001C1AFE">
        <w:t xml:space="preserve"> </w:t>
      </w:r>
      <w:r>
        <w:t xml:space="preserve">Die bereits heute eingetretene Häufung der Erbbauzinserhöhungen aufgrund des verkürzten Erhöhungszeitraums stellt eine erhebliche Aufgabenmehrung dar, </w:t>
      </w:r>
      <w:r w:rsidRPr="00A672DC">
        <w:t xml:space="preserve">die </w:t>
      </w:r>
      <w:r>
        <w:t xml:space="preserve">weder mit dem bestehenden Personalumfang noch </w:t>
      </w:r>
      <w:r w:rsidRPr="00A672DC">
        <w:t>durch an</w:t>
      </w:r>
      <w:r>
        <w:t xml:space="preserve">dere Maßnahmen </w:t>
      </w:r>
      <w:r w:rsidR="006A5C83">
        <w:t xml:space="preserve">und Aufgabenumverteilung </w:t>
      </w:r>
      <w:r>
        <w:t>aufgefangen werden kann.</w:t>
      </w:r>
    </w:p>
    <w:p w:rsidR="003D7B0B" w:rsidRDefault="003D7B0B" w:rsidP="00884D6C"/>
    <w:p w:rsidR="003D7B0B" w:rsidRPr="00106119" w:rsidRDefault="006E0575" w:rsidP="00884D6C">
      <w:pPr>
        <w:pStyle w:val="berschrift2"/>
      </w:pPr>
      <w:r w:rsidRPr="00106119">
        <w:t>3.3</w:t>
      </w:r>
      <w:r w:rsidR="003D7B0B" w:rsidRPr="00106119">
        <w:tab/>
        <w:t>Auswirkungen bei Ablehnung der Stellenschaffungen</w:t>
      </w:r>
    </w:p>
    <w:p w:rsidR="003D7B0B" w:rsidRDefault="003D7B0B" w:rsidP="00884D6C"/>
    <w:p w:rsidR="003D7B0B" w:rsidRDefault="009F3687" w:rsidP="00884D6C">
      <w:r w:rsidRPr="006C0A74">
        <w:t>Bei Ablehnung der Stelle</w:t>
      </w:r>
      <w:r>
        <w:t>n</w:t>
      </w:r>
      <w:r w:rsidRPr="006C0A74">
        <w:t xml:space="preserve"> </w:t>
      </w:r>
      <w:r>
        <w:t xml:space="preserve">können die Erbbauzinserhöhungen nicht angemessen durchgeführt werden. Gerade </w:t>
      </w:r>
      <w:r w:rsidR="006A5C83">
        <w:t>bei den Verträgen, bei denen</w:t>
      </w:r>
      <w:r>
        <w:t xml:space="preserve"> der Anspruch der Landeshauptstadt Stuttgart auf Erhöhung der Erbbauzinsen </w:t>
      </w:r>
      <w:r w:rsidR="006A5C83">
        <w:t>aktiv</w:t>
      </w:r>
      <w:r>
        <w:t xml:space="preserve"> geltend gemacht werden muss, </w:t>
      </w:r>
      <w:r w:rsidR="006A5C83">
        <w:br/>
        <w:t>damit er</w:t>
      </w:r>
      <w:r>
        <w:t xml:space="preserve"> </w:t>
      </w:r>
      <w:r w:rsidR="006A5C83">
        <w:t xml:space="preserve">überhaupt </w:t>
      </w:r>
      <w:r>
        <w:t xml:space="preserve">wirksam und fällig wird, führen Verzögerung dazu, dass der Landeshauptstadt Stuttgart Einnahmen </w:t>
      </w:r>
      <w:r w:rsidR="006A5C83">
        <w:t>verloren gehen</w:t>
      </w:r>
      <w:r>
        <w:t>, die auch nachträglich nicht mehr eingefordert werden können</w:t>
      </w:r>
      <w:r w:rsidR="00106119">
        <w:t xml:space="preserve"> (Verjährung)</w:t>
      </w:r>
      <w:r>
        <w:t>.</w:t>
      </w:r>
    </w:p>
    <w:p w:rsidR="003D7B0B" w:rsidRDefault="00884D6C" w:rsidP="00884D6C">
      <w:pPr>
        <w:pStyle w:val="berschrift1"/>
      </w:pPr>
      <w:r>
        <w:t>4</w:t>
      </w:r>
      <w:r>
        <w:tab/>
      </w:r>
      <w:r w:rsidR="003D7B0B">
        <w:t>Stellenvermerke</w:t>
      </w:r>
    </w:p>
    <w:p w:rsidR="00DE362D" w:rsidRDefault="00DE362D" w:rsidP="00884D6C"/>
    <w:p w:rsidR="004161BB" w:rsidRDefault="004161BB" w:rsidP="00884D6C">
      <w:r>
        <w:t xml:space="preserve">Die Stellen werden </w:t>
      </w:r>
      <w:r w:rsidRPr="004161BB">
        <w:t>mit Vermerk KW 01/2028</w:t>
      </w:r>
      <w:r>
        <w:t xml:space="preserve"> geschaffen.</w:t>
      </w:r>
    </w:p>
    <w:sectPr w:rsidR="004161B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56" w:rsidRDefault="00D41D56">
      <w:r>
        <w:separator/>
      </w:r>
    </w:p>
  </w:endnote>
  <w:endnote w:type="continuationSeparator" w:id="0">
    <w:p w:rsidR="00D41D56" w:rsidRDefault="00D4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56" w:rsidRDefault="00D41D56">
      <w:r>
        <w:separator/>
      </w:r>
    </w:p>
  </w:footnote>
  <w:footnote w:type="continuationSeparator" w:id="0">
    <w:p w:rsidR="00D41D56" w:rsidRDefault="00D4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A34C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78546AF"/>
    <w:multiLevelType w:val="hybridMultilevel"/>
    <w:tmpl w:val="6A50D5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56"/>
    <w:rsid w:val="00026253"/>
    <w:rsid w:val="00044382"/>
    <w:rsid w:val="00055758"/>
    <w:rsid w:val="00061F0B"/>
    <w:rsid w:val="000A1146"/>
    <w:rsid w:val="000F10B7"/>
    <w:rsid w:val="001034AF"/>
    <w:rsid w:val="00106119"/>
    <w:rsid w:val="0011112B"/>
    <w:rsid w:val="00120B04"/>
    <w:rsid w:val="0014415D"/>
    <w:rsid w:val="00151488"/>
    <w:rsid w:val="00163034"/>
    <w:rsid w:val="00164678"/>
    <w:rsid w:val="00165C0D"/>
    <w:rsid w:val="00181857"/>
    <w:rsid w:val="00184EDC"/>
    <w:rsid w:val="00194770"/>
    <w:rsid w:val="001A5F9B"/>
    <w:rsid w:val="001F7237"/>
    <w:rsid w:val="002924CB"/>
    <w:rsid w:val="00292B7C"/>
    <w:rsid w:val="002A20D1"/>
    <w:rsid w:val="002A4DE3"/>
    <w:rsid w:val="002B5955"/>
    <w:rsid w:val="0030686C"/>
    <w:rsid w:val="00380937"/>
    <w:rsid w:val="00397717"/>
    <w:rsid w:val="003A34C9"/>
    <w:rsid w:val="003D7B0B"/>
    <w:rsid w:val="003E0F4B"/>
    <w:rsid w:val="003F0FAA"/>
    <w:rsid w:val="004161BB"/>
    <w:rsid w:val="00470135"/>
    <w:rsid w:val="0047606A"/>
    <w:rsid w:val="004908B5"/>
    <w:rsid w:val="0049121B"/>
    <w:rsid w:val="004A1688"/>
    <w:rsid w:val="004B6796"/>
    <w:rsid w:val="00574FE2"/>
    <w:rsid w:val="005A0A9D"/>
    <w:rsid w:val="005A56AA"/>
    <w:rsid w:val="005C22A4"/>
    <w:rsid w:val="005E19C6"/>
    <w:rsid w:val="005F5B3D"/>
    <w:rsid w:val="00606F80"/>
    <w:rsid w:val="00622CC7"/>
    <w:rsid w:val="006A406B"/>
    <w:rsid w:val="006A5C83"/>
    <w:rsid w:val="006B6D50"/>
    <w:rsid w:val="006E0575"/>
    <w:rsid w:val="0072799A"/>
    <w:rsid w:val="007378D4"/>
    <w:rsid w:val="00754659"/>
    <w:rsid w:val="007E3B79"/>
    <w:rsid w:val="008066EE"/>
    <w:rsid w:val="00817BB6"/>
    <w:rsid w:val="00884D6C"/>
    <w:rsid w:val="00920F00"/>
    <w:rsid w:val="009373F6"/>
    <w:rsid w:val="00946276"/>
    <w:rsid w:val="0096038F"/>
    <w:rsid w:val="00976588"/>
    <w:rsid w:val="0098697D"/>
    <w:rsid w:val="009B4607"/>
    <w:rsid w:val="009F3687"/>
    <w:rsid w:val="00A27CA7"/>
    <w:rsid w:val="00A45B30"/>
    <w:rsid w:val="00A71D0A"/>
    <w:rsid w:val="00A77F1E"/>
    <w:rsid w:val="00A847C4"/>
    <w:rsid w:val="00AB389D"/>
    <w:rsid w:val="00AE7B02"/>
    <w:rsid w:val="00AF0DEA"/>
    <w:rsid w:val="00AF25E0"/>
    <w:rsid w:val="00B04290"/>
    <w:rsid w:val="00B34465"/>
    <w:rsid w:val="00B61666"/>
    <w:rsid w:val="00B664F6"/>
    <w:rsid w:val="00B80DEF"/>
    <w:rsid w:val="00B86BB5"/>
    <w:rsid w:val="00B91903"/>
    <w:rsid w:val="00BC4669"/>
    <w:rsid w:val="00C16EF1"/>
    <w:rsid w:val="00C23CC8"/>
    <w:rsid w:val="00C448D3"/>
    <w:rsid w:val="00C83CE1"/>
    <w:rsid w:val="00CF62E5"/>
    <w:rsid w:val="00D10EDA"/>
    <w:rsid w:val="00D31868"/>
    <w:rsid w:val="00D41D56"/>
    <w:rsid w:val="00D66D3A"/>
    <w:rsid w:val="00D743D4"/>
    <w:rsid w:val="00DB3D6C"/>
    <w:rsid w:val="00DE362D"/>
    <w:rsid w:val="00E014B6"/>
    <w:rsid w:val="00E1162F"/>
    <w:rsid w:val="00E11D5F"/>
    <w:rsid w:val="00E20E1F"/>
    <w:rsid w:val="00E42F96"/>
    <w:rsid w:val="00E7118F"/>
    <w:rsid w:val="00E95132"/>
    <w:rsid w:val="00F14D83"/>
    <w:rsid w:val="00F27657"/>
    <w:rsid w:val="00F342DC"/>
    <w:rsid w:val="00F56F93"/>
    <w:rsid w:val="00F63041"/>
    <w:rsid w:val="00F76452"/>
    <w:rsid w:val="00FB2979"/>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BC8D3"/>
  <w15:docId w15:val="{B96F0CF1-A9DC-4793-A3A1-5A478445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F3687"/>
    <w:pPr>
      <w:ind w:left="720"/>
      <w:contextualSpacing/>
    </w:pPr>
    <w:rPr>
      <w:szCs w:val="20"/>
    </w:rPr>
  </w:style>
  <w:style w:type="paragraph" w:styleId="Sprechblasentext">
    <w:name w:val="Balloon Text"/>
    <w:basedOn w:val="Standard"/>
    <w:link w:val="SprechblasentextZchn"/>
    <w:semiHidden/>
    <w:unhideWhenUsed/>
    <w:rsid w:val="00106119"/>
    <w:rPr>
      <w:rFonts w:ascii="Segoe UI" w:hAnsi="Segoe UI" w:cs="Segoe UI"/>
      <w:sz w:val="18"/>
      <w:szCs w:val="18"/>
    </w:rPr>
  </w:style>
  <w:style w:type="character" w:customStyle="1" w:styleId="SprechblasentextZchn">
    <w:name w:val="Sprechblasentext Zchn"/>
    <w:basedOn w:val="Absatz-Standardschriftart"/>
    <w:link w:val="Sprechblasentext"/>
    <w:semiHidden/>
    <w:rsid w:val="00106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30005\Downloads\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481</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Rüdiger, Doris</dc:creator>
  <cp:lastModifiedBy>Baumann, Gerhard</cp:lastModifiedBy>
  <cp:revision>8</cp:revision>
  <cp:lastPrinted>2023-10-06T06:01:00Z</cp:lastPrinted>
  <dcterms:created xsi:type="dcterms:W3CDTF">2023-07-27T12:20:00Z</dcterms:created>
  <dcterms:modified xsi:type="dcterms:W3CDTF">2023-10-06T06:01:00Z</dcterms:modified>
</cp:coreProperties>
</file>