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CE78EC" w:rsidRDefault="003D7B0B" w:rsidP="006E0575">
      <w:pPr>
        <w:tabs>
          <w:tab w:val="left" w:pos="5812"/>
        </w:tabs>
        <w:jc w:val="right"/>
        <w:rPr>
          <w:szCs w:val="24"/>
        </w:rPr>
      </w:pPr>
      <w:r w:rsidRPr="00CE78EC">
        <w:rPr>
          <w:szCs w:val="24"/>
        </w:rPr>
        <w:t xml:space="preserve">Anlage </w:t>
      </w:r>
      <w:r w:rsidR="00E41D12">
        <w:rPr>
          <w:szCs w:val="24"/>
        </w:rPr>
        <w:t>7</w:t>
      </w:r>
      <w:r w:rsidRPr="00CE78EC">
        <w:rPr>
          <w:szCs w:val="24"/>
        </w:rPr>
        <w:t xml:space="preserve"> zur GRDrs</w:t>
      </w:r>
      <w:r w:rsidR="00DD24CC">
        <w:rPr>
          <w:szCs w:val="24"/>
        </w:rPr>
        <w:t>.</w:t>
      </w:r>
      <w:r w:rsidRPr="00CE78EC">
        <w:rPr>
          <w:szCs w:val="24"/>
        </w:rPr>
        <w:t xml:space="preserve"> </w:t>
      </w:r>
      <w:r w:rsidR="00DD24CC">
        <w:rPr>
          <w:szCs w:val="24"/>
        </w:rPr>
        <w:t>904</w:t>
      </w:r>
      <w:r w:rsidR="008C4AD8" w:rsidRPr="00CE78EC">
        <w:rPr>
          <w:szCs w:val="24"/>
        </w:rPr>
        <w:t>/2020</w:t>
      </w:r>
    </w:p>
    <w:p w:rsidR="003D7B0B" w:rsidRPr="00CE78EC" w:rsidRDefault="003D7B0B" w:rsidP="006E0575"/>
    <w:p w:rsidR="003D7B0B" w:rsidRPr="00CE78EC" w:rsidRDefault="003D7B0B" w:rsidP="006E0575"/>
    <w:p w:rsidR="00184EDC" w:rsidRPr="00CE78EC" w:rsidRDefault="003D7B0B" w:rsidP="005A56AA">
      <w:pPr>
        <w:tabs>
          <w:tab w:val="left" w:pos="6521"/>
        </w:tabs>
        <w:jc w:val="center"/>
        <w:rPr>
          <w:b/>
          <w:sz w:val="36"/>
        </w:rPr>
      </w:pPr>
      <w:r w:rsidRPr="00CE78EC">
        <w:rPr>
          <w:b/>
          <w:sz w:val="36"/>
          <w:u w:val="single"/>
        </w:rPr>
        <w:t>Stellenschaffung</w:t>
      </w:r>
    </w:p>
    <w:p w:rsidR="003D7B0B" w:rsidRPr="00CE78EC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CE78EC">
        <w:rPr>
          <w:b/>
          <w:sz w:val="36"/>
          <w:u w:val="single"/>
        </w:rPr>
        <w:t xml:space="preserve">im Vorgriff auf den </w:t>
      </w:r>
      <w:r w:rsidR="00184EDC" w:rsidRPr="00CE78EC">
        <w:rPr>
          <w:b/>
          <w:sz w:val="36"/>
          <w:u w:val="single"/>
        </w:rPr>
        <w:t>Stellenplan 20</w:t>
      </w:r>
      <w:r w:rsidR="008C4AD8" w:rsidRPr="00CE78EC">
        <w:rPr>
          <w:b/>
          <w:sz w:val="36"/>
          <w:u w:val="single"/>
        </w:rPr>
        <w:t>22</w:t>
      </w:r>
    </w:p>
    <w:p w:rsidR="003D7B0B" w:rsidRPr="00CE78EC" w:rsidRDefault="003D7B0B" w:rsidP="006E0575"/>
    <w:p w:rsidR="00B10E22" w:rsidRPr="00CE78EC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CE78EC" w:rsidRPr="00CE78EC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CE78EC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E78EC">
              <w:rPr>
                <w:sz w:val="16"/>
                <w:szCs w:val="16"/>
              </w:rPr>
              <w:t xml:space="preserve"> </w:t>
            </w:r>
            <w:r w:rsidR="005F5B3D" w:rsidRPr="00CE78EC">
              <w:rPr>
                <w:sz w:val="16"/>
                <w:szCs w:val="16"/>
              </w:rPr>
              <w:t>Org.-Einheit</w:t>
            </w:r>
            <w:r w:rsidR="005F5B3D" w:rsidRPr="00CE78EC">
              <w:rPr>
                <w:sz w:val="16"/>
                <w:szCs w:val="16"/>
              </w:rPr>
              <w:br/>
            </w:r>
            <w:r w:rsidR="005F5B3D" w:rsidRPr="00CE78EC">
              <w:rPr>
                <w:sz w:val="16"/>
                <w:szCs w:val="16"/>
              </w:rPr>
              <w:br/>
            </w:r>
            <w:r w:rsidRPr="00CE78EC">
              <w:rPr>
                <w:sz w:val="16"/>
                <w:szCs w:val="16"/>
              </w:rPr>
              <w:t xml:space="preserve"> </w:t>
            </w:r>
            <w:r w:rsidR="005F5B3D" w:rsidRPr="00CE78EC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CE78EC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E78EC">
              <w:rPr>
                <w:sz w:val="16"/>
                <w:szCs w:val="16"/>
              </w:rPr>
              <w:t xml:space="preserve"> </w:t>
            </w:r>
            <w:r w:rsidR="005F5B3D" w:rsidRPr="00CE78EC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Pr="00CE78EC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E78EC">
              <w:rPr>
                <w:sz w:val="16"/>
                <w:szCs w:val="16"/>
              </w:rPr>
              <w:t xml:space="preserve"> </w:t>
            </w:r>
            <w:r w:rsidR="00606F80" w:rsidRPr="00CE78EC">
              <w:rPr>
                <w:sz w:val="16"/>
                <w:szCs w:val="16"/>
              </w:rPr>
              <w:t>BesGr.</w:t>
            </w:r>
          </w:p>
          <w:p w:rsidR="00606F80" w:rsidRPr="00CE78EC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E78EC">
              <w:rPr>
                <w:sz w:val="16"/>
                <w:szCs w:val="16"/>
              </w:rPr>
              <w:t xml:space="preserve"> </w:t>
            </w:r>
            <w:r w:rsidR="00606F80" w:rsidRPr="00CE78EC">
              <w:rPr>
                <w:sz w:val="16"/>
                <w:szCs w:val="16"/>
              </w:rPr>
              <w:t>oder</w:t>
            </w:r>
          </w:p>
          <w:p w:rsidR="00606F80" w:rsidRPr="00CE78EC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E78EC">
              <w:rPr>
                <w:sz w:val="16"/>
                <w:szCs w:val="16"/>
              </w:rPr>
              <w:t xml:space="preserve"> </w:t>
            </w:r>
            <w:r w:rsidR="00606F80" w:rsidRPr="00CE78EC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CE78EC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E78EC">
              <w:rPr>
                <w:sz w:val="16"/>
                <w:szCs w:val="16"/>
              </w:rPr>
              <w:t xml:space="preserve"> </w:t>
            </w:r>
            <w:r w:rsidR="005F5B3D" w:rsidRPr="00CE78EC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CE78EC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E78EC">
              <w:rPr>
                <w:sz w:val="16"/>
                <w:szCs w:val="16"/>
              </w:rPr>
              <w:t xml:space="preserve"> </w:t>
            </w:r>
            <w:r w:rsidR="005F5B3D" w:rsidRPr="00CE78EC">
              <w:rPr>
                <w:sz w:val="16"/>
                <w:szCs w:val="16"/>
              </w:rPr>
              <w:t>Anzahl</w:t>
            </w:r>
            <w:r w:rsidR="005F5B3D" w:rsidRPr="00CE78EC">
              <w:rPr>
                <w:sz w:val="16"/>
                <w:szCs w:val="16"/>
              </w:rPr>
              <w:br/>
            </w:r>
            <w:r w:rsidRPr="00CE78EC">
              <w:rPr>
                <w:sz w:val="16"/>
                <w:szCs w:val="16"/>
              </w:rPr>
              <w:t xml:space="preserve"> </w:t>
            </w:r>
            <w:r w:rsidR="005F5B3D" w:rsidRPr="00CE78EC">
              <w:rPr>
                <w:sz w:val="16"/>
                <w:szCs w:val="16"/>
              </w:rPr>
              <w:t>der</w:t>
            </w:r>
            <w:r w:rsidR="005F5B3D" w:rsidRPr="00CE78EC">
              <w:rPr>
                <w:sz w:val="16"/>
                <w:szCs w:val="16"/>
              </w:rPr>
              <w:br/>
            </w:r>
            <w:r w:rsidRPr="00CE78EC">
              <w:rPr>
                <w:sz w:val="16"/>
                <w:szCs w:val="16"/>
              </w:rPr>
              <w:t xml:space="preserve"> </w:t>
            </w:r>
            <w:r w:rsidR="005F5B3D" w:rsidRPr="00CE78EC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CE78EC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E78EC">
              <w:rPr>
                <w:sz w:val="16"/>
                <w:szCs w:val="16"/>
              </w:rPr>
              <w:t xml:space="preserve"> </w:t>
            </w:r>
            <w:r w:rsidR="005F5B3D" w:rsidRPr="00CE78EC">
              <w:rPr>
                <w:sz w:val="16"/>
                <w:szCs w:val="16"/>
              </w:rPr>
              <w:t>Stellen-</w:t>
            </w:r>
            <w:r w:rsidR="005F5B3D" w:rsidRPr="00CE78EC">
              <w:rPr>
                <w:sz w:val="16"/>
                <w:szCs w:val="16"/>
              </w:rPr>
              <w:br/>
            </w:r>
            <w:r w:rsidRPr="00CE78EC">
              <w:rPr>
                <w:sz w:val="16"/>
                <w:szCs w:val="16"/>
              </w:rPr>
              <w:t xml:space="preserve"> </w:t>
            </w:r>
            <w:r w:rsidR="005F5B3D" w:rsidRPr="00CE78EC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CE78EC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E78EC">
              <w:rPr>
                <w:sz w:val="16"/>
                <w:szCs w:val="16"/>
              </w:rPr>
              <w:t xml:space="preserve"> </w:t>
            </w:r>
            <w:r w:rsidR="005F5B3D" w:rsidRPr="00CE78EC">
              <w:rPr>
                <w:sz w:val="16"/>
                <w:szCs w:val="16"/>
              </w:rPr>
              <w:t>durchschnittl.</w:t>
            </w:r>
            <w:r w:rsidR="008A6853" w:rsidRPr="00CE78EC">
              <w:rPr>
                <w:sz w:val="16"/>
                <w:szCs w:val="16"/>
              </w:rPr>
              <w:t xml:space="preserve"> jährl.</w:t>
            </w:r>
            <w:r w:rsidRPr="00CE78EC">
              <w:rPr>
                <w:sz w:val="16"/>
                <w:szCs w:val="16"/>
              </w:rPr>
              <w:br/>
              <w:t xml:space="preserve"> </w:t>
            </w:r>
            <w:r w:rsidR="008A6853" w:rsidRPr="00CE78EC">
              <w:rPr>
                <w:sz w:val="16"/>
                <w:szCs w:val="16"/>
              </w:rPr>
              <w:t>kosten</w:t>
            </w:r>
            <w:r w:rsidR="005F5B3D" w:rsidRPr="00CE78EC">
              <w:rPr>
                <w:sz w:val="16"/>
                <w:szCs w:val="16"/>
              </w:rPr>
              <w:t>wirksamer</w:t>
            </w:r>
            <w:r w:rsidR="005F5B3D" w:rsidRPr="00CE78EC">
              <w:rPr>
                <w:sz w:val="16"/>
                <w:szCs w:val="16"/>
              </w:rPr>
              <w:br/>
            </w:r>
            <w:r w:rsidRPr="00CE78EC">
              <w:rPr>
                <w:sz w:val="16"/>
                <w:szCs w:val="16"/>
              </w:rPr>
              <w:t xml:space="preserve"> </w:t>
            </w:r>
            <w:r w:rsidR="005F5B3D" w:rsidRPr="00CE78EC">
              <w:rPr>
                <w:sz w:val="16"/>
                <w:szCs w:val="16"/>
              </w:rPr>
              <w:t>Aufwand</w:t>
            </w:r>
            <w:r w:rsidR="008A6853" w:rsidRPr="00CE78EC">
              <w:rPr>
                <w:sz w:val="16"/>
                <w:szCs w:val="16"/>
              </w:rPr>
              <w:t xml:space="preserve"> in €</w:t>
            </w:r>
          </w:p>
        </w:tc>
      </w:tr>
      <w:tr w:rsidR="00CE78EC" w:rsidRPr="00CE78EC" w:rsidTr="005F5B3D">
        <w:tc>
          <w:tcPr>
            <w:tcW w:w="1814" w:type="dxa"/>
          </w:tcPr>
          <w:p w:rsidR="00290595" w:rsidRDefault="00290595" w:rsidP="006E0575">
            <w:pPr>
              <w:rPr>
                <w:sz w:val="20"/>
              </w:rPr>
            </w:pPr>
          </w:p>
          <w:p w:rsidR="005F5B3D" w:rsidRDefault="00EE0B3A" w:rsidP="006E0575">
            <w:pPr>
              <w:rPr>
                <w:sz w:val="20"/>
              </w:rPr>
            </w:pPr>
            <w:r w:rsidRPr="00CE78EC">
              <w:rPr>
                <w:sz w:val="20"/>
              </w:rPr>
              <w:t>20-4.2</w:t>
            </w:r>
          </w:p>
          <w:p w:rsidR="00A03582" w:rsidRPr="00CE78EC" w:rsidRDefault="00EE0B3A" w:rsidP="006E0575">
            <w:pPr>
              <w:rPr>
                <w:sz w:val="20"/>
              </w:rPr>
            </w:pPr>
            <w:r w:rsidRPr="00CE78EC">
              <w:rPr>
                <w:sz w:val="20"/>
              </w:rPr>
              <w:t>2040</w:t>
            </w:r>
            <w:r w:rsidR="00201E50">
              <w:rPr>
                <w:sz w:val="20"/>
              </w:rPr>
              <w:t xml:space="preserve"> </w:t>
            </w:r>
            <w:r w:rsidRPr="00CE78EC">
              <w:rPr>
                <w:sz w:val="20"/>
              </w:rPr>
              <w:t>6040</w:t>
            </w:r>
          </w:p>
        </w:tc>
        <w:tc>
          <w:tcPr>
            <w:tcW w:w="1701" w:type="dxa"/>
          </w:tcPr>
          <w:p w:rsidR="00290595" w:rsidRDefault="00290595" w:rsidP="006E0575">
            <w:pPr>
              <w:rPr>
                <w:sz w:val="20"/>
              </w:rPr>
            </w:pPr>
          </w:p>
          <w:p w:rsidR="005F5B3D" w:rsidRPr="00CE78EC" w:rsidRDefault="00B33457" w:rsidP="006E0575">
            <w:pPr>
              <w:rPr>
                <w:sz w:val="20"/>
              </w:rPr>
            </w:pPr>
            <w:r w:rsidRPr="00CE78EC">
              <w:rPr>
                <w:sz w:val="20"/>
              </w:rPr>
              <w:t>Stadtkämmerei</w:t>
            </w:r>
          </w:p>
          <w:p w:rsidR="00A03582" w:rsidRPr="00CE78EC" w:rsidRDefault="00A03582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03970" w:rsidRDefault="00903970" w:rsidP="008A6853">
            <w:pPr>
              <w:rPr>
                <w:sz w:val="20"/>
              </w:rPr>
            </w:pPr>
          </w:p>
          <w:p w:rsidR="005F5B3D" w:rsidRPr="00CE78EC" w:rsidRDefault="009C4A29" w:rsidP="008A6853">
            <w:pPr>
              <w:rPr>
                <w:sz w:val="20"/>
              </w:rPr>
            </w:pPr>
            <w:r w:rsidRPr="00CE78EC">
              <w:rPr>
                <w:sz w:val="20"/>
              </w:rPr>
              <w:t>A 11</w:t>
            </w:r>
          </w:p>
          <w:p w:rsidR="00A03582" w:rsidRPr="00CE78EC" w:rsidRDefault="00A03582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903970" w:rsidRDefault="00903970" w:rsidP="004B3AA4">
            <w:pPr>
              <w:rPr>
                <w:sz w:val="20"/>
              </w:rPr>
            </w:pPr>
          </w:p>
          <w:p w:rsidR="005F5B3D" w:rsidRPr="00CE78EC" w:rsidRDefault="00B33457" w:rsidP="004B3AA4">
            <w:pPr>
              <w:rPr>
                <w:sz w:val="20"/>
              </w:rPr>
            </w:pPr>
            <w:r w:rsidRPr="00CE78EC">
              <w:rPr>
                <w:sz w:val="20"/>
              </w:rPr>
              <w:t>Sachbearbeiter</w:t>
            </w:r>
            <w:r w:rsidR="00290595">
              <w:rPr>
                <w:sz w:val="20"/>
              </w:rPr>
              <w:t>/-in</w:t>
            </w:r>
          </w:p>
          <w:p w:rsidR="00A03582" w:rsidRPr="00CE78EC" w:rsidRDefault="00A03582" w:rsidP="004B3AA4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903970" w:rsidRDefault="00903970" w:rsidP="008A6853">
            <w:pPr>
              <w:rPr>
                <w:sz w:val="20"/>
              </w:rPr>
            </w:pPr>
          </w:p>
          <w:p w:rsidR="005F5B3D" w:rsidRPr="00CE78EC" w:rsidRDefault="009C4A29" w:rsidP="0051724C">
            <w:pPr>
              <w:jc w:val="center"/>
              <w:rPr>
                <w:sz w:val="20"/>
              </w:rPr>
            </w:pPr>
            <w:r w:rsidRPr="00CE78EC">
              <w:rPr>
                <w:sz w:val="20"/>
              </w:rPr>
              <w:t>1,0</w:t>
            </w:r>
            <w:bookmarkStart w:id="0" w:name="_GoBack"/>
            <w:bookmarkEnd w:id="0"/>
          </w:p>
          <w:p w:rsidR="00A03582" w:rsidRPr="00CE78EC" w:rsidRDefault="00A03582" w:rsidP="008A685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03970" w:rsidRDefault="00903970" w:rsidP="00A03582">
            <w:pPr>
              <w:rPr>
                <w:sz w:val="20"/>
              </w:rPr>
            </w:pPr>
          </w:p>
          <w:p w:rsidR="005F5B3D" w:rsidRPr="00CE78EC" w:rsidRDefault="009C4A29" w:rsidP="00903970">
            <w:pPr>
              <w:jc w:val="center"/>
              <w:rPr>
                <w:sz w:val="20"/>
              </w:rPr>
            </w:pPr>
            <w:r w:rsidRPr="00CE78EC">
              <w:rPr>
                <w:sz w:val="20"/>
              </w:rPr>
              <w:t>-</w:t>
            </w:r>
          </w:p>
          <w:p w:rsidR="00A03582" w:rsidRPr="00CE78EC" w:rsidRDefault="00A03582" w:rsidP="00A0358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903970" w:rsidRDefault="00903970" w:rsidP="00A03582">
            <w:pPr>
              <w:rPr>
                <w:sz w:val="20"/>
              </w:rPr>
            </w:pPr>
          </w:p>
          <w:p w:rsidR="005F5B3D" w:rsidRPr="00CE78EC" w:rsidRDefault="009C4A29" w:rsidP="00194BA8">
            <w:pPr>
              <w:jc w:val="center"/>
              <w:rPr>
                <w:sz w:val="20"/>
              </w:rPr>
            </w:pPr>
            <w:r w:rsidRPr="00CE78EC">
              <w:rPr>
                <w:sz w:val="20"/>
              </w:rPr>
              <w:t>96.900</w:t>
            </w:r>
          </w:p>
          <w:p w:rsidR="00A03582" w:rsidRPr="00CE78EC" w:rsidRDefault="00A03582" w:rsidP="00A03582">
            <w:pPr>
              <w:rPr>
                <w:sz w:val="20"/>
              </w:rPr>
            </w:pPr>
          </w:p>
        </w:tc>
      </w:tr>
    </w:tbl>
    <w:p w:rsidR="003D7B0B" w:rsidRPr="00CE78EC" w:rsidRDefault="006E0575" w:rsidP="00884D6C">
      <w:pPr>
        <w:pStyle w:val="berschrift1"/>
      </w:pPr>
      <w:r w:rsidRPr="00CE78EC">
        <w:t>1</w:t>
      </w:r>
      <w:r w:rsidR="00884D6C" w:rsidRPr="00CE78EC">
        <w:tab/>
      </w:r>
      <w:r w:rsidR="003D7B0B" w:rsidRPr="00CE78EC">
        <w:t>Antra</w:t>
      </w:r>
      <w:r w:rsidR="003D7B0B" w:rsidRPr="00CE78EC">
        <w:rPr>
          <w:u w:val="none"/>
        </w:rPr>
        <w:t>g</w:t>
      </w:r>
      <w:r w:rsidR="003D7B0B" w:rsidRPr="00CE78EC">
        <w:t>, Stellenausstattun</w:t>
      </w:r>
      <w:r w:rsidR="003D7B0B" w:rsidRPr="00CE78EC">
        <w:rPr>
          <w:u w:val="none"/>
        </w:rPr>
        <w:t>g</w:t>
      </w:r>
    </w:p>
    <w:p w:rsidR="003D7B0B" w:rsidRPr="00CE78EC" w:rsidRDefault="003D7B0B" w:rsidP="00884D6C"/>
    <w:p w:rsidR="003D7B0B" w:rsidRPr="00CE78EC" w:rsidRDefault="00390559" w:rsidP="00884D6C">
      <w:r w:rsidRPr="00CE78EC">
        <w:t xml:space="preserve">Beantragt wird die Schaffung von </w:t>
      </w:r>
      <w:r w:rsidR="009C4A29" w:rsidRPr="00CE78EC">
        <w:t xml:space="preserve">1,0 </w:t>
      </w:r>
      <w:r w:rsidRPr="00CE78EC">
        <w:t>Stelle</w:t>
      </w:r>
      <w:r w:rsidR="009C4A29" w:rsidRPr="00CE78EC">
        <w:t xml:space="preserve"> in Bes.</w:t>
      </w:r>
      <w:r w:rsidR="000B469D">
        <w:t>-</w:t>
      </w:r>
      <w:r w:rsidR="009C4A29" w:rsidRPr="00CE78EC">
        <w:t>Gr. A 11</w:t>
      </w:r>
      <w:r w:rsidRPr="00CE78EC">
        <w:t xml:space="preserve"> </w:t>
      </w:r>
      <w:r w:rsidR="000B1121" w:rsidRPr="00CE78EC">
        <w:t xml:space="preserve">für </w:t>
      </w:r>
      <w:r w:rsidR="009C4A29" w:rsidRPr="00CE78EC">
        <w:t>die Abteilung Stadtkasse der Stadtkämmerei, Sachgebiet Ausgaben</w:t>
      </w:r>
      <w:r w:rsidR="004B3AA4" w:rsidRPr="00CE78EC">
        <w:t>.</w:t>
      </w:r>
    </w:p>
    <w:p w:rsidR="003D7B0B" w:rsidRPr="00CE78EC" w:rsidRDefault="003D7B0B" w:rsidP="00884D6C">
      <w:pPr>
        <w:pStyle w:val="berschrift1"/>
      </w:pPr>
      <w:r w:rsidRPr="00CE78EC">
        <w:t>2</w:t>
      </w:r>
      <w:r w:rsidRPr="00CE78EC">
        <w:tab/>
        <w:t>Schaffun</w:t>
      </w:r>
      <w:r w:rsidRPr="00CE78EC">
        <w:rPr>
          <w:u w:val="none"/>
        </w:rPr>
        <w:t>g</w:t>
      </w:r>
      <w:r w:rsidRPr="00CE78EC">
        <w:t>skriterien</w:t>
      </w:r>
    </w:p>
    <w:p w:rsidR="0065383D" w:rsidRPr="00CE78EC" w:rsidRDefault="0065383D" w:rsidP="00884D6C">
      <w:pPr>
        <w:rPr>
          <w:u w:val="single"/>
        </w:rPr>
      </w:pPr>
    </w:p>
    <w:p w:rsidR="000647D4" w:rsidRPr="00CE78EC" w:rsidRDefault="00A03582" w:rsidP="000647D4">
      <w:r w:rsidRPr="00CE78EC">
        <w:t xml:space="preserve">Die Stellenschaffung ist vordringlich und unabweisbar. </w:t>
      </w:r>
    </w:p>
    <w:p w:rsidR="003D7B0B" w:rsidRPr="00CE78EC" w:rsidRDefault="003D7B0B" w:rsidP="00884D6C">
      <w:pPr>
        <w:pStyle w:val="berschrift1"/>
      </w:pPr>
      <w:r w:rsidRPr="00CE78EC">
        <w:t>3</w:t>
      </w:r>
      <w:r w:rsidRPr="00CE78EC">
        <w:tab/>
        <w:t>Bedarf</w:t>
      </w:r>
    </w:p>
    <w:p w:rsidR="003D7B0B" w:rsidRPr="00CE78EC" w:rsidRDefault="00884D6C" w:rsidP="00884D6C">
      <w:pPr>
        <w:pStyle w:val="berschrift2"/>
      </w:pPr>
      <w:r w:rsidRPr="00CE78EC">
        <w:t>3.1</w:t>
      </w:r>
      <w:r w:rsidRPr="00CE78EC">
        <w:tab/>
      </w:r>
      <w:r w:rsidR="006E0575" w:rsidRPr="00CE78EC">
        <w:t>Anlass</w:t>
      </w:r>
    </w:p>
    <w:p w:rsidR="003D7B0B" w:rsidRPr="00CE78EC" w:rsidRDefault="003D7B0B" w:rsidP="00884D6C"/>
    <w:p w:rsidR="00A03582" w:rsidRPr="00CE78EC" w:rsidRDefault="00A03582" w:rsidP="009B372D">
      <w:pPr>
        <w:tabs>
          <w:tab w:val="left" w:pos="709"/>
        </w:tabs>
      </w:pPr>
      <w:r w:rsidRPr="00CE78EC">
        <w:t>Auf die GRDrs</w:t>
      </w:r>
      <w:r w:rsidR="00E04F4B">
        <w:t>.</w:t>
      </w:r>
      <w:r w:rsidRPr="00CE78EC">
        <w:t xml:space="preserve"> </w:t>
      </w:r>
      <w:r w:rsidR="009C4A29" w:rsidRPr="00CE78EC">
        <w:t>883</w:t>
      </w:r>
      <w:r w:rsidR="008C4AD8" w:rsidRPr="00CE78EC">
        <w:t>/2020</w:t>
      </w:r>
      <w:r w:rsidRPr="00CE78EC">
        <w:t xml:space="preserve"> „</w:t>
      </w:r>
      <w:r w:rsidR="009C4A29" w:rsidRPr="00CE78EC">
        <w:t>Umsetzung steuerrechtlicher Anforderungen und elektronischer Zahlungsprozesse (OZG) bei der Stadtkämmerei</w:t>
      </w:r>
      <w:r w:rsidRPr="00CE78EC">
        <w:t>“ wird verwiesen.</w:t>
      </w:r>
    </w:p>
    <w:p w:rsidR="003D7B0B" w:rsidRPr="00CE78EC" w:rsidRDefault="003D7B0B" w:rsidP="00165C0D">
      <w:pPr>
        <w:pStyle w:val="berschrift2"/>
      </w:pPr>
      <w:r w:rsidRPr="00CE78EC">
        <w:t>3.2</w:t>
      </w:r>
      <w:r w:rsidRPr="00CE78EC">
        <w:tab/>
        <w:t>Bisherige Aufgabenwahrnehmung</w:t>
      </w:r>
    </w:p>
    <w:p w:rsidR="003D7B0B" w:rsidRPr="00CE78EC" w:rsidRDefault="003D7B0B" w:rsidP="00884D6C"/>
    <w:p w:rsidR="003D7B0B" w:rsidRPr="00CE78EC" w:rsidRDefault="004356A9" w:rsidP="00884D6C">
      <w:r w:rsidRPr="00CE78EC">
        <w:t>D</w:t>
      </w:r>
      <w:r w:rsidR="00911A19" w:rsidRPr="00CE78EC">
        <w:t>er</w:t>
      </w:r>
      <w:r w:rsidRPr="00CE78EC">
        <w:t xml:space="preserve"> Stadtkasse obliegt </w:t>
      </w:r>
      <w:r w:rsidR="00911A19" w:rsidRPr="00CE78EC">
        <w:t>u.</w:t>
      </w:r>
      <w:r w:rsidR="00903970">
        <w:t xml:space="preserve"> </w:t>
      </w:r>
      <w:r w:rsidR="00911A19" w:rsidRPr="00CE78EC">
        <w:t>a. die Sicherstellung der</w:t>
      </w:r>
      <w:r w:rsidRPr="00CE78EC">
        <w:t xml:space="preserve"> ordnungsgemäße</w:t>
      </w:r>
      <w:r w:rsidR="00911A19" w:rsidRPr="00CE78EC">
        <w:t>n</w:t>
      </w:r>
      <w:r w:rsidRPr="00CE78EC">
        <w:t xml:space="preserve"> Buchhaltung der Stadt</w:t>
      </w:r>
      <w:r w:rsidR="00BB3429" w:rsidRPr="00CE78EC">
        <w:t>.</w:t>
      </w:r>
      <w:r w:rsidRPr="00CE78EC">
        <w:t xml:space="preserve"> </w:t>
      </w:r>
      <w:r w:rsidR="00911A19" w:rsidRPr="00CE78EC">
        <w:t>Die durch Umsetzung des §</w:t>
      </w:r>
      <w:r w:rsidR="00903970">
        <w:t xml:space="preserve"> </w:t>
      </w:r>
      <w:r w:rsidR="00911A19" w:rsidRPr="00CE78EC">
        <w:t>2b UStG erforderlichen Systemumstellungen müssen getestet und an den Rechnungseingangs</w:t>
      </w:r>
      <w:r w:rsidR="00903970">
        <w:t>workflow angepasst,</w:t>
      </w:r>
      <w:r w:rsidR="00911A19" w:rsidRPr="00CE78EC">
        <w:t xml:space="preserve"> die Projektarbeit im Bereich TCMS</w:t>
      </w:r>
      <w:r w:rsidR="00903970">
        <w:t xml:space="preserve"> muss</w:t>
      </w:r>
      <w:r w:rsidR="00911A19" w:rsidRPr="00CE78EC">
        <w:t xml:space="preserve"> begleitet</w:t>
      </w:r>
      <w:r w:rsidR="00903970">
        <w:t xml:space="preserve"> werden. D</w:t>
      </w:r>
      <w:r w:rsidR="00911A19" w:rsidRPr="00CE78EC">
        <w:t>ie</w:t>
      </w:r>
      <w:r w:rsidR="00903970">
        <w:t xml:space="preserve"> jeweiligen</w:t>
      </w:r>
      <w:r w:rsidR="00911A19" w:rsidRPr="00CE78EC">
        <w:t xml:space="preserve"> Anwendungen</w:t>
      </w:r>
      <w:r w:rsidR="00903970">
        <w:t xml:space="preserve"> müssen</w:t>
      </w:r>
      <w:r w:rsidR="00911A19" w:rsidRPr="00CE78EC">
        <w:t xml:space="preserve"> anschließend laufend betreut werden. Diese Aufgaben </w:t>
      </w:r>
      <w:r w:rsidR="00F86881" w:rsidRPr="00CE78EC">
        <w:t>sind</w:t>
      </w:r>
      <w:r w:rsidR="00911A19" w:rsidRPr="00CE78EC">
        <w:t xml:space="preserve"> </w:t>
      </w:r>
      <w:r w:rsidR="00F86881" w:rsidRPr="00CE78EC">
        <w:t>neu und fallen</w:t>
      </w:r>
      <w:r w:rsidR="00903970">
        <w:t xml:space="preserve"> bereits</w:t>
      </w:r>
      <w:r w:rsidR="00F86881" w:rsidRPr="00CE78EC">
        <w:t xml:space="preserve"> </w:t>
      </w:r>
      <w:r w:rsidR="00911A19" w:rsidRPr="00CE78EC">
        <w:t>kurzfristig an.</w:t>
      </w:r>
    </w:p>
    <w:p w:rsidR="003D7B0B" w:rsidRPr="00CE78EC" w:rsidRDefault="006E0575" w:rsidP="00884D6C">
      <w:pPr>
        <w:pStyle w:val="berschrift2"/>
      </w:pPr>
      <w:r w:rsidRPr="00CE78EC">
        <w:t>3.3</w:t>
      </w:r>
      <w:r w:rsidR="003D7B0B" w:rsidRPr="00CE78EC">
        <w:tab/>
        <w:t>Auswirkungen bei Ablehnung der Stellenschaffungen</w:t>
      </w:r>
    </w:p>
    <w:p w:rsidR="003D7B0B" w:rsidRPr="00CE78EC" w:rsidRDefault="003D7B0B" w:rsidP="00884D6C"/>
    <w:p w:rsidR="00BB3429" w:rsidRPr="00CE78EC" w:rsidRDefault="00903970" w:rsidP="00BB3429">
      <w:r>
        <w:t>A</w:t>
      </w:r>
      <w:r w:rsidR="00F86881" w:rsidRPr="00CE78EC">
        <w:t>ußerplanmäßige Aufwendungen durch Steuernachzahlungen</w:t>
      </w:r>
      <w:r w:rsidR="008F5A0F" w:rsidRPr="00CE78EC">
        <w:t xml:space="preserve"> und Zinsforderungen</w:t>
      </w:r>
      <w:r w:rsidR="00F86881" w:rsidRPr="00CE78EC">
        <w:t xml:space="preserve">, Mehraufwendungen </w:t>
      </w:r>
      <w:r>
        <w:t>wegen</w:t>
      </w:r>
      <w:r w:rsidR="00F86881" w:rsidRPr="00CE78EC">
        <w:t xml:space="preserve"> nicht geltend gemachter Vorsteuerab</w:t>
      </w:r>
      <w:r>
        <w:t xml:space="preserve">züge wären die Folge. Der Stadt könnte ein </w:t>
      </w:r>
      <w:r w:rsidR="00F86881" w:rsidRPr="00CE78EC">
        <w:t>Organisations</w:t>
      </w:r>
      <w:r w:rsidR="00515261">
        <w:t>verschulden bei N</w:t>
      </w:r>
      <w:r w:rsidR="008F5A0F" w:rsidRPr="00CE78EC">
        <w:t>icht- oder fehlerhafter Umsetzung steuerrechtlicher Vorgaben</w:t>
      </w:r>
      <w:r>
        <w:t xml:space="preserve"> zugerechnet werden</w:t>
      </w:r>
      <w:r w:rsidR="008F5A0F" w:rsidRPr="00CE78EC">
        <w:t>.</w:t>
      </w:r>
    </w:p>
    <w:p w:rsidR="003D7B0B" w:rsidRPr="00CE78EC" w:rsidRDefault="00884D6C" w:rsidP="00884D6C">
      <w:pPr>
        <w:pStyle w:val="berschrift1"/>
      </w:pPr>
      <w:r w:rsidRPr="00CE78EC">
        <w:t>4</w:t>
      </w:r>
      <w:r w:rsidRPr="00CE78EC">
        <w:tab/>
      </w:r>
      <w:r w:rsidR="003D7B0B" w:rsidRPr="00CE78EC">
        <w:t>Stellenvermerke</w:t>
      </w:r>
    </w:p>
    <w:p w:rsidR="003D7B0B" w:rsidRPr="00CE78EC" w:rsidRDefault="003D7B0B" w:rsidP="00884D6C"/>
    <w:p w:rsidR="006E0575" w:rsidRPr="00CE78EC" w:rsidRDefault="00F86881" w:rsidP="00884D6C">
      <w:r w:rsidRPr="00CE78EC">
        <w:t>-</w:t>
      </w:r>
    </w:p>
    <w:sectPr w:rsidR="006E0575" w:rsidRPr="00CE78EC" w:rsidSect="00903970">
      <w:headerReference w:type="default" r:id="rId8"/>
      <w:pgSz w:w="11907" w:h="16840" w:code="9"/>
      <w:pgMar w:top="1418" w:right="1134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8D" w:rsidRDefault="00D5658D">
      <w:r>
        <w:separator/>
      </w:r>
    </w:p>
  </w:endnote>
  <w:endnote w:type="continuationSeparator" w:id="0">
    <w:p w:rsidR="00D5658D" w:rsidRDefault="00D5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8D" w:rsidRDefault="00D5658D">
      <w:r>
        <w:separator/>
      </w:r>
    </w:p>
  </w:footnote>
  <w:footnote w:type="continuationSeparator" w:id="0">
    <w:p w:rsidR="00D5658D" w:rsidRDefault="00D5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DD24CC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36E35"/>
    <w:rsid w:val="00060AE0"/>
    <w:rsid w:val="000647D4"/>
    <w:rsid w:val="000A1146"/>
    <w:rsid w:val="000A193F"/>
    <w:rsid w:val="000B1121"/>
    <w:rsid w:val="000B469D"/>
    <w:rsid w:val="000E5896"/>
    <w:rsid w:val="0011112B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94BA8"/>
    <w:rsid w:val="001A5F9B"/>
    <w:rsid w:val="001D17AA"/>
    <w:rsid w:val="001D54CB"/>
    <w:rsid w:val="001F7237"/>
    <w:rsid w:val="00201E50"/>
    <w:rsid w:val="00261F51"/>
    <w:rsid w:val="00265DAA"/>
    <w:rsid w:val="002779E3"/>
    <w:rsid w:val="00290595"/>
    <w:rsid w:val="002924CB"/>
    <w:rsid w:val="002A20D1"/>
    <w:rsid w:val="002B5955"/>
    <w:rsid w:val="002F52C1"/>
    <w:rsid w:val="00341F1E"/>
    <w:rsid w:val="003769DC"/>
    <w:rsid w:val="00380937"/>
    <w:rsid w:val="00390559"/>
    <w:rsid w:val="003D7B0B"/>
    <w:rsid w:val="00422024"/>
    <w:rsid w:val="00432692"/>
    <w:rsid w:val="004356A9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4E70D3"/>
    <w:rsid w:val="005006E0"/>
    <w:rsid w:val="0051087F"/>
    <w:rsid w:val="00515261"/>
    <w:rsid w:val="0051724C"/>
    <w:rsid w:val="005434DD"/>
    <w:rsid w:val="0059239F"/>
    <w:rsid w:val="00596DF0"/>
    <w:rsid w:val="005A0A1A"/>
    <w:rsid w:val="005A0A9D"/>
    <w:rsid w:val="005A56AA"/>
    <w:rsid w:val="005D43F2"/>
    <w:rsid w:val="005D6222"/>
    <w:rsid w:val="005E103A"/>
    <w:rsid w:val="005E19C6"/>
    <w:rsid w:val="005F5B3D"/>
    <w:rsid w:val="00606F80"/>
    <w:rsid w:val="00622DA7"/>
    <w:rsid w:val="0065383D"/>
    <w:rsid w:val="00662565"/>
    <w:rsid w:val="00695F7A"/>
    <w:rsid w:val="006A7700"/>
    <w:rsid w:val="006B6D50"/>
    <w:rsid w:val="006E0575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A0DAF"/>
    <w:rsid w:val="008A6853"/>
    <w:rsid w:val="008B3F45"/>
    <w:rsid w:val="008C4AD8"/>
    <w:rsid w:val="008F5A0F"/>
    <w:rsid w:val="00903970"/>
    <w:rsid w:val="00906404"/>
    <w:rsid w:val="00911A19"/>
    <w:rsid w:val="009417E7"/>
    <w:rsid w:val="00976588"/>
    <w:rsid w:val="00990DDA"/>
    <w:rsid w:val="009B372D"/>
    <w:rsid w:val="009C4A29"/>
    <w:rsid w:val="00A03582"/>
    <w:rsid w:val="00A27CA7"/>
    <w:rsid w:val="00A71D0A"/>
    <w:rsid w:val="00A77F1E"/>
    <w:rsid w:val="00AD05FA"/>
    <w:rsid w:val="00AE3D20"/>
    <w:rsid w:val="00B04290"/>
    <w:rsid w:val="00B10E22"/>
    <w:rsid w:val="00B11187"/>
    <w:rsid w:val="00B33457"/>
    <w:rsid w:val="00B43A9B"/>
    <w:rsid w:val="00B8031F"/>
    <w:rsid w:val="00B80DEF"/>
    <w:rsid w:val="00BB3429"/>
    <w:rsid w:val="00BC4669"/>
    <w:rsid w:val="00BF2B95"/>
    <w:rsid w:val="00C16EF1"/>
    <w:rsid w:val="00C448D3"/>
    <w:rsid w:val="00C76F3D"/>
    <w:rsid w:val="00CE78EC"/>
    <w:rsid w:val="00CF0309"/>
    <w:rsid w:val="00D00514"/>
    <w:rsid w:val="00D461B9"/>
    <w:rsid w:val="00D541F0"/>
    <w:rsid w:val="00D5658D"/>
    <w:rsid w:val="00D95922"/>
    <w:rsid w:val="00D96564"/>
    <w:rsid w:val="00DB3D6C"/>
    <w:rsid w:val="00DB5BCF"/>
    <w:rsid w:val="00DD24CC"/>
    <w:rsid w:val="00E014B6"/>
    <w:rsid w:val="00E04F4B"/>
    <w:rsid w:val="00E1162F"/>
    <w:rsid w:val="00E11D5F"/>
    <w:rsid w:val="00E20E1F"/>
    <w:rsid w:val="00E41D12"/>
    <w:rsid w:val="00E7118F"/>
    <w:rsid w:val="00E77145"/>
    <w:rsid w:val="00EE0B3A"/>
    <w:rsid w:val="00F214E0"/>
    <w:rsid w:val="00F27657"/>
    <w:rsid w:val="00F342DC"/>
    <w:rsid w:val="00F63041"/>
    <w:rsid w:val="00F76452"/>
    <w:rsid w:val="00F86881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B65D-52B5-4FD4-AF0E-A5C587D7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16</cp:revision>
  <cp:lastPrinted>2017-09-13T15:12:00Z</cp:lastPrinted>
  <dcterms:created xsi:type="dcterms:W3CDTF">2020-10-13T12:48:00Z</dcterms:created>
  <dcterms:modified xsi:type="dcterms:W3CDTF">2020-10-21T13:28:00Z</dcterms:modified>
</cp:coreProperties>
</file>