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1D1EBF">
      <w:pPr>
        <w:ind w:left="4963"/>
        <w:jc w:val="center"/>
      </w:pPr>
      <w:r w:rsidRPr="006E0575">
        <w:t xml:space="preserve">Anlage </w:t>
      </w:r>
      <w:r w:rsidR="00720CF5">
        <w:t>4</w:t>
      </w:r>
      <w:r w:rsidRPr="006E0575">
        <w:t xml:space="preserve"> zur GRDrs </w:t>
      </w:r>
      <w:r w:rsidR="00720CF5">
        <w:t>701</w:t>
      </w:r>
      <w:r w:rsidR="005F5B3D">
        <w:t>/20</w:t>
      </w:r>
      <w:r w:rsidR="00AE7B02">
        <w:t>21</w:t>
      </w:r>
    </w:p>
    <w:p w:rsidR="003D7B0B" w:rsidRPr="006E0575" w:rsidRDefault="003D7B0B" w:rsidP="006E0575"/>
    <w:p w:rsidR="003D7B0B" w:rsidRPr="006E0575" w:rsidRDefault="003D7B0B" w:rsidP="006E0575"/>
    <w:p w:rsidR="00184EDC" w:rsidRDefault="003D7B0B" w:rsidP="00397717">
      <w:pPr>
        <w:jc w:val="center"/>
        <w:rPr>
          <w:b/>
          <w:sz w:val="36"/>
        </w:rPr>
      </w:pPr>
      <w:r>
        <w:rPr>
          <w:b/>
          <w:sz w:val="36"/>
          <w:u w:val="single"/>
        </w:rPr>
        <w:t>Stellenschaffun</w:t>
      </w:r>
      <w:r w:rsidRPr="00AB389D">
        <w:rPr>
          <w:b/>
          <w:sz w:val="36"/>
        </w:rPr>
        <w:t>g</w:t>
      </w:r>
    </w:p>
    <w:p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EC643A">
        <w:rPr>
          <w:b/>
          <w:sz w:val="36"/>
          <w:szCs w:val="36"/>
          <w:u w:val="single"/>
        </w:rPr>
        <w:t>2</w:t>
      </w:r>
    </w:p>
    <w:p w:rsidR="003D7B0B" w:rsidRDefault="003D7B0B" w:rsidP="006E0575">
      <w:pPr>
        <w:rPr>
          <w:u w:val="single"/>
        </w:rPr>
      </w:pPr>
    </w:p>
    <w:p w:rsidR="00DE362D" w:rsidRPr="00E42F96" w:rsidRDefault="00DE362D" w:rsidP="006E0575">
      <w:pPr>
        <w:rPr>
          <w:u w:val="single"/>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rsidTr="00DE362D">
        <w:trPr>
          <w:cantSplit/>
          <w:tblHeader/>
        </w:trPr>
        <w:tc>
          <w:tcPr>
            <w:tcW w:w="1814" w:type="dxa"/>
            <w:shd w:val="pct12" w:color="auto" w:fill="FFFFFF"/>
          </w:tcPr>
          <w:p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rsidR="00DE362D" w:rsidRDefault="00606F80" w:rsidP="0030686C">
            <w:pPr>
              <w:spacing w:before="120" w:after="120" w:line="200" w:lineRule="exact"/>
              <w:ind w:right="-85"/>
              <w:rPr>
                <w:sz w:val="16"/>
                <w:szCs w:val="16"/>
              </w:rPr>
            </w:pPr>
            <w:r>
              <w:rPr>
                <w:sz w:val="16"/>
                <w:szCs w:val="16"/>
              </w:rPr>
              <w:t>BesGr.</w:t>
            </w:r>
          </w:p>
          <w:p w:rsidR="00DE362D" w:rsidRDefault="00606F80" w:rsidP="0030686C">
            <w:pPr>
              <w:spacing w:before="120" w:after="120" w:line="200" w:lineRule="exact"/>
              <w:ind w:right="-85"/>
              <w:rPr>
                <w:sz w:val="16"/>
                <w:szCs w:val="16"/>
              </w:rPr>
            </w:pPr>
            <w:r>
              <w:rPr>
                <w:sz w:val="16"/>
                <w:szCs w:val="16"/>
              </w:rPr>
              <w:t>oder</w:t>
            </w:r>
          </w:p>
          <w:p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r w:rsidRPr="006E0575">
              <w:rPr>
                <w:sz w:val="16"/>
                <w:szCs w:val="16"/>
              </w:rPr>
              <w:t>bezeichnung</w:t>
            </w:r>
          </w:p>
        </w:tc>
        <w:tc>
          <w:tcPr>
            <w:tcW w:w="737"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rsidR="005F5B3D" w:rsidRPr="006E0575" w:rsidRDefault="005F5B3D" w:rsidP="0030686C">
            <w:pPr>
              <w:spacing w:before="120" w:after="120" w:line="200" w:lineRule="exact"/>
              <w:ind w:right="-85"/>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rsidTr="00DE362D">
        <w:tc>
          <w:tcPr>
            <w:tcW w:w="1814" w:type="dxa"/>
          </w:tcPr>
          <w:p w:rsidR="005F5B3D" w:rsidRDefault="005F5B3D" w:rsidP="0030686C">
            <w:pPr>
              <w:rPr>
                <w:sz w:val="20"/>
              </w:rPr>
            </w:pPr>
          </w:p>
          <w:p w:rsidR="005F5B3D" w:rsidRDefault="0048471E" w:rsidP="0030686C">
            <w:pPr>
              <w:rPr>
                <w:sz w:val="20"/>
              </w:rPr>
            </w:pPr>
            <w:r>
              <w:rPr>
                <w:sz w:val="20"/>
              </w:rPr>
              <w:t>10-2</w:t>
            </w:r>
          </w:p>
          <w:p w:rsidR="0011112B" w:rsidRDefault="0011112B" w:rsidP="0030686C">
            <w:pPr>
              <w:rPr>
                <w:sz w:val="20"/>
              </w:rPr>
            </w:pPr>
          </w:p>
          <w:p w:rsidR="0011112B" w:rsidRDefault="0048471E" w:rsidP="0030686C">
            <w:pPr>
              <w:rPr>
                <w:sz w:val="20"/>
              </w:rPr>
            </w:pPr>
            <w:r>
              <w:rPr>
                <w:sz w:val="20"/>
              </w:rPr>
              <w:t>1021</w:t>
            </w:r>
            <w:r w:rsidR="009E6B0E">
              <w:rPr>
                <w:sz w:val="20"/>
              </w:rPr>
              <w:t xml:space="preserve"> </w:t>
            </w:r>
            <w:r>
              <w:rPr>
                <w:sz w:val="20"/>
              </w:rPr>
              <w:t>5000</w:t>
            </w:r>
          </w:p>
          <w:p w:rsidR="005F5B3D" w:rsidRPr="006E0575" w:rsidRDefault="005F5B3D" w:rsidP="0030686C">
            <w:pPr>
              <w:rPr>
                <w:sz w:val="20"/>
              </w:rPr>
            </w:pPr>
          </w:p>
        </w:tc>
        <w:tc>
          <w:tcPr>
            <w:tcW w:w="1701" w:type="dxa"/>
          </w:tcPr>
          <w:p w:rsidR="0095381A" w:rsidRDefault="0095381A" w:rsidP="0030686C">
            <w:pPr>
              <w:rPr>
                <w:sz w:val="20"/>
              </w:rPr>
            </w:pPr>
          </w:p>
          <w:p w:rsidR="005F5B3D" w:rsidRPr="006E0575" w:rsidRDefault="0048471E" w:rsidP="009E6B0E">
            <w:pPr>
              <w:rPr>
                <w:sz w:val="20"/>
              </w:rPr>
            </w:pPr>
            <w:r>
              <w:rPr>
                <w:sz w:val="20"/>
              </w:rPr>
              <w:t>Haupt-</w:t>
            </w:r>
            <w:r w:rsidR="009E6B0E">
              <w:rPr>
                <w:sz w:val="20"/>
              </w:rPr>
              <w:t xml:space="preserve"> </w:t>
            </w:r>
            <w:r>
              <w:rPr>
                <w:sz w:val="20"/>
              </w:rPr>
              <w:t>u</w:t>
            </w:r>
            <w:r w:rsidR="009E6B0E">
              <w:rPr>
                <w:sz w:val="20"/>
              </w:rPr>
              <w:t>nd</w:t>
            </w:r>
            <w:r>
              <w:rPr>
                <w:sz w:val="20"/>
              </w:rPr>
              <w:t xml:space="preserve"> Personalamt</w:t>
            </w:r>
          </w:p>
        </w:tc>
        <w:tc>
          <w:tcPr>
            <w:tcW w:w="794" w:type="dxa"/>
          </w:tcPr>
          <w:p w:rsidR="005F5B3D" w:rsidRDefault="005F5B3D" w:rsidP="0030686C">
            <w:pPr>
              <w:rPr>
                <w:sz w:val="20"/>
              </w:rPr>
            </w:pPr>
          </w:p>
          <w:p w:rsidR="005F5B3D" w:rsidRPr="006E0575" w:rsidRDefault="009E6B0E" w:rsidP="009E6B0E">
            <w:pPr>
              <w:rPr>
                <w:sz w:val="20"/>
              </w:rPr>
            </w:pPr>
            <w:r>
              <w:rPr>
                <w:sz w:val="20"/>
              </w:rPr>
              <w:t>A 13 g</w:t>
            </w:r>
            <w:r w:rsidR="0048471E">
              <w:rPr>
                <w:sz w:val="20"/>
              </w:rPr>
              <w:t>D</w:t>
            </w:r>
          </w:p>
        </w:tc>
        <w:tc>
          <w:tcPr>
            <w:tcW w:w="1928" w:type="dxa"/>
          </w:tcPr>
          <w:p w:rsidR="005F5B3D" w:rsidRDefault="005F5B3D" w:rsidP="0030686C">
            <w:pPr>
              <w:rPr>
                <w:sz w:val="20"/>
              </w:rPr>
            </w:pPr>
          </w:p>
          <w:p w:rsidR="005F5B3D" w:rsidRPr="006E0575" w:rsidRDefault="009E6B0E" w:rsidP="0048471E">
            <w:pPr>
              <w:rPr>
                <w:sz w:val="20"/>
              </w:rPr>
            </w:pPr>
            <w:r>
              <w:rPr>
                <w:sz w:val="20"/>
              </w:rPr>
              <w:t xml:space="preserve">Sachbearbeiter/-in </w:t>
            </w:r>
          </w:p>
        </w:tc>
        <w:tc>
          <w:tcPr>
            <w:tcW w:w="737" w:type="dxa"/>
            <w:shd w:val="pct12" w:color="auto" w:fill="FFFFFF"/>
          </w:tcPr>
          <w:p w:rsidR="005F5B3D" w:rsidRDefault="005F5B3D" w:rsidP="0030686C">
            <w:pPr>
              <w:rPr>
                <w:sz w:val="20"/>
              </w:rPr>
            </w:pPr>
          </w:p>
          <w:p w:rsidR="005F5B3D" w:rsidRPr="006E0575" w:rsidRDefault="0048471E" w:rsidP="0030686C">
            <w:pPr>
              <w:rPr>
                <w:sz w:val="20"/>
              </w:rPr>
            </w:pPr>
            <w:r>
              <w:rPr>
                <w:sz w:val="20"/>
              </w:rPr>
              <w:t>0,4</w:t>
            </w:r>
            <w:r w:rsidR="009E6B0E">
              <w:rPr>
                <w:sz w:val="20"/>
              </w:rPr>
              <w:t>0</w:t>
            </w:r>
          </w:p>
        </w:tc>
        <w:tc>
          <w:tcPr>
            <w:tcW w:w="1134" w:type="dxa"/>
          </w:tcPr>
          <w:p w:rsidR="005F5B3D" w:rsidRDefault="005F5B3D" w:rsidP="0030686C">
            <w:pPr>
              <w:rPr>
                <w:sz w:val="20"/>
              </w:rPr>
            </w:pPr>
          </w:p>
          <w:p w:rsidR="005F5B3D" w:rsidRPr="006E0575" w:rsidRDefault="0095381A" w:rsidP="0030686C">
            <w:pPr>
              <w:rPr>
                <w:sz w:val="20"/>
              </w:rPr>
            </w:pPr>
            <w:r>
              <w:rPr>
                <w:sz w:val="20"/>
              </w:rPr>
              <w:t>-</w:t>
            </w:r>
          </w:p>
        </w:tc>
        <w:tc>
          <w:tcPr>
            <w:tcW w:w="1417" w:type="dxa"/>
          </w:tcPr>
          <w:p w:rsidR="005F5B3D" w:rsidRDefault="005F5B3D" w:rsidP="0030686C">
            <w:pPr>
              <w:rPr>
                <w:sz w:val="20"/>
              </w:rPr>
            </w:pPr>
          </w:p>
          <w:p w:rsidR="005F5B3D" w:rsidRPr="006E0575" w:rsidRDefault="00720CF5" w:rsidP="0030686C">
            <w:pPr>
              <w:rPr>
                <w:sz w:val="20"/>
              </w:rPr>
            </w:pPr>
            <w:r>
              <w:rPr>
                <w:sz w:val="20"/>
              </w:rPr>
              <w:t>50.360</w:t>
            </w:r>
          </w:p>
        </w:tc>
      </w:tr>
    </w:tbl>
    <w:p w:rsidR="003D7B0B" w:rsidRPr="00884D6C" w:rsidRDefault="006E0575" w:rsidP="00884D6C">
      <w:pPr>
        <w:pStyle w:val="berschrift1"/>
      </w:pPr>
      <w:r w:rsidRPr="00884D6C">
        <w:t>1</w:t>
      </w:r>
      <w:r w:rsidR="00884D6C">
        <w:tab/>
      </w:r>
      <w:r w:rsidR="003D7B0B" w:rsidRPr="00884D6C">
        <w:t>Antra</w:t>
      </w:r>
      <w:r w:rsidR="003D7B0B" w:rsidRPr="00884D6C">
        <w:rPr>
          <w:u w:val="none"/>
        </w:rPr>
        <w:t>g</w:t>
      </w:r>
      <w:r w:rsidR="003D7B0B" w:rsidRPr="00884D6C">
        <w:t>, Stellenausstattun</w:t>
      </w:r>
      <w:r w:rsidR="003D7B0B" w:rsidRPr="00884D6C">
        <w:rPr>
          <w:u w:val="none"/>
        </w:rPr>
        <w:t>g</w:t>
      </w:r>
    </w:p>
    <w:p w:rsidR="003D7B0B" w:rsidRDefault="003D7B0B" w:rsidP="00884D6C"/>
    <w:p w:rsidR="0048471E" w:rsidRDefault="00720CF5" w:rsidP="009E6B0E">
      <w:r>
        <w:t>Geschaffen wird eine</w:t>
      </w:r>
      <w:bookmarkStart w:id="0" w:name="_GoBack"/>
      <w:bookmarkEnd w:id="0"/>
      <w:r w:rsidR="00FA69B8">
        <w:t xml:space="preserve"> 0,</w:t>
      </w:r>
      <w:r w:rsidR="0048471E">
        <w:t>4</w:t>
      </w:r>
      <w:r w:rsidR="00FA69B8" w:rsidRPr="00B64529">
        <w:t xml:space="preserve"> </w:t>
      </w:r>
      <w:r w:rsidR="00FA69B8">
        <w:t xml:space="preserve">Stelle in </w:t>
      </w:r>
      <w:r w:rsidR="0048471E">
        <w:t>Bes.-Gr. A 13 gD</w:t>
      </w:r>
      <w:r w:rsidR="00FA69B8">
        <w:t xml:space="preserve"> </w:t>
      </w:r>
      <w:r w:rsidR="0048471E">
        <w:t xml:space="preserve">für das Team Fraktionsservice und Sonderaufgaben, um alle Arbeiten im Zusammenhang mit den Gemeinderatsfraktionen, deren Finanzierung und der Besetzung der Bezirksbeiräte der äußeren Stadtbezirke sowie diverse Sonderaufgaben wie die Handreichung des Gemeinderats, die Gebührenfibel, die ständigen Aktualisierungen des Stadtrechts oder der Dienstvorschriften bewältigen zu können. </w:t>
      </w:r>
    </w:p>
    <w:p w:rsidR="003D7B0B" w:rsidRDefault="003D7B0B" w:rsidP="009E6B0E">
      <w:pPr>
        <w:pStyle w:val="berschrift1"/>
      </w:pPr>
      <w:r>
        <w:t>2</w:t>
      </w:r>
      <w:r>
        <w:tab/>
        <w:t>Schaffun</w:t>
      </w:r>
      <w:r w:rsidRPr="00884D6C">
        <w:rPr>
          <w:u w:val="none"/>
        </w:rPr>
        <w:t>g</w:t>
      </w:r>
      <w:r>
        <w:t>skriterien</w:t>
      </w:r>
    </w:p>
    <w:p w:rsidR="00FA69B8" w:rsidRDefault="00FA69B8" w:rsidP="009E6B0E"/>
    <w:p w:rsidR="0048471E" w:rsidRPr="00057C99" w:rsidRDefault="0048471E" w:rsidP="009E6B0E">
      <w:r>
        <w:t>Das Kriterium der Arbeitsvermehrung konnte im Umfang einer 0,4 Stelle nachgewiesen werden.</w:t>
      </w:r>
    </w:p>
    <w:p w:rsidR="003D7B0B" w:rsidRDefault="003D7B0B" w:rsidP="009E6B0E">
      <w:pPr>
        <w:pStyle w:val="berschrift1"/>
      </w:pPr>
      <w:r>
        <w:t>3</w:t>
      </w:r>
      <w:r>
        <w:tab/>
        <w:t>Bedarf</w:t>
      </w:r>
    </w:p>
    <w:p w:rsidR="003D7B0B" w:rsidRPr="00884D6C" w:rsidRDefault="00884D6C" w:rsidP="009E6B0E">
      <w:pPr>
        <w:pStyle w:val="berschrift2"/>
      </w:pPr>
      <w:r w:rsidRPr="00884D6C">
        <w:t>3.1</w:t>
      </w:r>
      <w:r w:rsidRPr="00884D6C">
        <w:tab/>
      </w:r>
      <w:r w:rsidR="006E0575" w:rsidRPr="00884D6C">
        <w:t>Anlass</w:t>
      </w:r>
    </w:p>
    <w:p w:rsidR="00477532" w:rsidRDefault="00477532" w:rsidP="009E6B0E"/>
    <w:p w:rsidR="0048471E" w:rsidRDefault="0048471E" w:rsidP="009E6B0E">
      <w:r>
        <w:t>Der Auf</w:t>
      </w:r>
      <w:r w:rsidR="009E6B0E">
        <w:t>wand für Arbeiten rund um die Gemeinderatsf</w:t>
      </w:r>
      <w:r>
        <w:t>raktionen und die Bezirksbeiräte hat deutlich zugenommen: Es gibt wesentlich mehr Anfragen zur Verwendung der Fraktionsmittel. Zudem haben in den letzten Jahren häufigere Wechsel in den Bezirksbeiräten stattgefunden, und es gibt einen erhöhten Aufwand in der Bezirksbeiratsdatenverwaltung durch datenschutzrechtliche Vorgaben.</w:t>
      </w:r>
      <w:r w:rsidRPr="00433EA3">
        <w:t xml:space="preserve"> </w:t>
      </w:r>
    </w:p>
    <w:p w:rsidR="0048471E" w:rsidRDefault="0048471E" w:rsidP="009E6B0E"/>
    <w:p w:rsidR="009E6B0E" w:rsidRDefault="0048471E" w:rsidP="009E6B0E">
      <w:r w:rsidRPr="00C40C3B">
        <w:t>Die Fallzahlen (Veränderungen bei Zusammensetzung und Personalien der Bezirksbeiräte) in diesem Bereich haben sich wie folgt entwickelt, wobei das Jahr 2019 wegen der Kommunalwahlen und daraus folgend ca. 600 Neubestellungen nicht repräsentativ ist und deshalb nicht berücksichtigt wird. Folgende Arbeitsvermehrung liegt vor:</w:t>
      </w:r>
    </w:p>
    <w:p w:rsidR="009E6B0E" w:rsidRDefault="009E6B0E">
      <w:r>
        <w:br w:type="page"/>
      </w:r>
    </w:p>
    <w:tbl>
      <w:tblPr>
        <w:tblW w:w="8931" w:type="dxa"/>
        <w:tblCellMar>
          <w:left w:w="70" w:type="dxa"/>
          <w:right w:w="70" w:type="dxa"/>
        </w:tblCellMar>
        <w:tblLook w:val="04A0" w:firstRow="1" w:lastRow="0" w:firstColumn="1" w:lastColumn="0" w:noHBand="0" w:noVBand="1"/>
      </w:tblPr>
      <w:tblGrid>
        <w:gridCol w:w="1020"/>
        <w:gridCol w:w="7911"/>
      </w:tblGrid>
      <w:tr w:rsidR="0048471E" w:rsidRPr="00C40C3B" w:rsidTr="00163380">
        <w:trPr>
          <w:trHeight w:val="703"/>
        </w:trPr>
        <w:tc>
          <w:tcPr>
            <w:tcW w:w="1020" w:type="dxa"/>
            <w:tcBorders>
              <w:top w:val="nil"/>
              <w:left w:val="nil"/>
              <w:bottom w:val="nil"/>
              <w:right w:val="nil"/>
            </w:tcBorders>
            <w:shd w:val="clear" w:color="auto" w:fill="auto"/>
            <w:noWrap/>
            <w:vAlign w:val="bottom"/>
            <w:hideMark/>
          </w:tcPr>
          <w:p w:rsidR="0048471E" w:rsidRPr="00C40C3B" w:rsidRDefault="0048471E" w:rsidP="00163380">
            <w:pPr>
              <w:jc w:val="center"/>
              <w:rPr>
                <w:rFonts w:cs="Arial"/>
                <w:color w:val="000000"/>
                <w:sz w:val="22"/>
                <w:szCs w:val="22"/>
              </w:rPr>
            </w:pPr>
            <w:r w:rsidRPr="00C40C3B">
              <w:rPr>
                <w:rFonts w:cs="Arial"/>
                <w:color w:val="000000"/>
                <w:sz w:val="22"/>
                <w:szCs w:val="22"/>
              </w:rPr>
              <w:lastRenderedPageBreak/>
              <w:t>Jahr</w:t>
            </w:r>
          </w:p>
        </w:tc>
        <w:tc>
          <w:tcPr>
            <w:tcW w:w="7911" w:type="dxa"/>
            <w:tcBorders>
              <w:top w:val="nil"/>
              <w:left w:val="nil"/>
              <w:bottom w:val="nil"/>
              <w:right w:val="nil"/>
            </w:tcBorders>
            <w:shd w:val="clear" w:color="auto" w:fill="auto"/>
            <w:noWrap/>
            <w:vAlign w:val="bottom"/>
            <w:hideMark/>
          </w:tcPr>
          <w:p w:rsidR="0048471E" w:rsidRPr="00C40C3B" w:rsidRDefault="0048471E" w:rsidP="00163380">
            <w:pPr>
              <w:jc w:val="center"/>
              <w:rPr>
                <w:rFonts w:cs="Arial"/>
                <w:color w:val="000000"/>
                <w:sz w:val="22"/>
                <w:szCs w:val="22"/>
              </w:rPr>
            </w:pPr>
            <w:r w:rsidRPr="00C40C3B">
              <w:rPr>
                <w:rFonts w:cs="Arial"/>
                <w:color w:val="000000"/>
                <w:sz w:val="22"/>
                <w:szCs w:val="22"/>
              </w:rPr>
              <w:t>Veränderungen</w:t>
            </w:r>
          </w:p>
          <w:p w:rsidR="0048471E" w:rsidRPr="00C40C3B" w:rsidRDefault="0048471E" w:rsidP="00163380">
            <w:pPr>
              <w:jc w:val="center"/>
              <w:rPr>
                <w:rFonts w:cs="Arial"/>
                <w:color w:val="000000"/>
                <w:sz w:val="22"/>
                <w:szCs w:val="22"/>
              </w:rPr>
            </w:pPr>
            <w:r w:rsidRPr="00C40C3B">
              <w:rPr>
                <w:rFonts w:cs="Arial"/>
                <w:color w:val="000000"/>
                <w:sz w:val="22"/>
                <w:szCs w:val="22"/>
              </w:rPr>
              <w:t>(Fallzahlen)</w:t>
            </w:r>
          </w:p>
        </w:tc>
      </w:tr>
      <w:tr w:rsidR="0048471E" w:rsidRPr="00C40C3B" w:rsidTr="00163380">
        <w:trPr>
          <w:trHeight w:val="285"/>
        </w:trPr>
        <w:tc>
          <w:tcPr>
            <w:tcW w:w="1020" w:type="dxa"/>
            <w:tcBorders>
              <w:top w:val="nil"/>
              <w:left w:val="nil"/>
              <w:bottom w:val="nil"/>
              <w:right w:val="nil"/>
            </w:tcBorders>
            <w:shd w:val="clear" w:color="auto" w:fill="auto"/>
            <w:noWrap/>
            <w:vAlign w:val="bottom"/>
            <w:hideMark/>
          </w:tcPr>
          <w:p w:rsidR="0048471E" w:rsidRPr="00C40C3B" w:rsidRDefault="0048471E" w:rsidP="00163380">
            <w:pPr>
              <w:jc w:val="center"/>
              <w:rPr>
                <w:rFonts w:cs="Arial"/>
                <w:color w:val="000000"/>
                <w:sz w:val="22"/>
                <w:szCs w:val="22"/>
              </w:rPr>
            </w:pPr>
            <w:r w:rsidRPr="00C40C3B">
              <w:rPr>
                <w:rFonts w:cs="Arial"/>
                <w:color w:val="000000"/>
                <w:sz w:val="22"/>
                <w:szCs w:val="22"/>
              </w:rPr>
              <w:t>2017</w:t>
            </w:r>
          </w:p>
        </w:tc>
        <w:tc>
          <w:tcPr>
            <w:tcW w:w="7911" w:type="dxa"/>
            <w:tcBorders>
              <w:top w:val="nil"/>
              <w:left w:val="nil"/>
              <w:bottom w:val="nil"/>
              <w:right w:val="nil"/>
            </w:tcBorders>
            <w:shd w:val="clear" w:color="auto" w:fill="auto"/>
            <w:noWrap/>
            <w:vAlign w:val="bottom"/>
            <w:hideMark/>
          </w:tcPr>
          <w:p w:rsidR="0048471E" w:rsidRPr="00C40C3B" w:rsidRDefault="0048471E" w:rsidP="00163380">
            <w:pPr>
              <w:jc w:val="center"/>
              <w:rPr>
                <w:rFonts w:cs="Arial"/>
                <w:color w:val="000000"/>
                <w:sz w:val="22"/>
                <w:szCs w:val="22"/>
              </w:rPr>
            </w:pPr>
            <w:r w:rsidRPr="00C40C3B">
              <w:rPr>
                <w:rFonts w:cs="Arial"/>
                <w:color w:val="000000"/>
                <w:sz w:val="22"/>
                <w:szCs w:val="22"/>
              </w:rPr>
              <w:t>69</w:t>
            </w:r>
          </w:p>
        </w:tc>
      </w:tr>
      <w:tr w:rsidR="0048471E" w:rsidRPr="00C40C3B" w:rsidTr="00163380">
        <w:trPr>
          <w:trHeight w:val="285"/>
        </w:trPr>
        <w:tc>
          <w:tcPr>
            <w:tcW w:w="1020" w:type="dxa"/>
            <w:tcBorders>
              <w:top w:val="nil"/>
              <w:left w:val="nil"/>
              <w:bottom w:val="nil"/>
              <w:right w:val="nil"/>
            </w:tcBorders>
            <w:shd w:val="clear" w:color="auto" w:fill="auto"/>
            <w:noWrap/>
            <w:vAlign w:val="bottom"/>
            <w:hideMark/>
          </w:tcPr>
          <w:p w:rsidR="0048471E" w:rsidRPr="00C40C3B" w:rsidRDefault="0048471E" w:rsidP="00163380">
            <w:pPr>
              <w:jc w:val="center"/>
              <w:rPr>
                <w:rFonts w:cs="Arial"/>
                <w:color w:val="000000"/>
                <w:sz w:val="22"/>
                <w:szCs w:val="22"/>
              </w:rPr>
            </w:pPr>
            <w:r w:rsidRPr="00C40C3B">
              <w:rPr>
                <w:rFonts w:cs="Arial"/>
                <w:color w:val="000000"/>
                <w:sz w:val="22"/>
                <w:szCs w:val="22"/>
              </w:rPr>
              <w:t>2018</w:t>
            </w:r>
          </w:p>
        </w:tc>
        <w:tc>
          <w:tcPr>
            <w:tcW w:w="7911" w:type="dxa"/>
            <w:tcBorders>
              <w:top w:val="nil"/>
              <w:left w:val="nil"/>
              <w:bottom w:val="nil"/>
              <w:right w:val="nil"/>
            </w:tcBorders>
            <w:shd w:val="clear" w:color="auto" w:fill="auto"/>
            <w:noWrap/>
            <w:vAlign w:val="bottom"/>
            <w:hideMark/>
          </w:tcPr>
          <w:p w:rsidR="0048471E" w:rsidRPr="009E6B0E" w:rsidRDefault="0048471E" w:rsidP="00163380">
            <w:pPr>
              <w:jc w:val="center"/>
              <w:rPr>
                <w:rFonts w:cs="Arial"/>
                <w:color w:val="000000"/>
                <w:sz w:val="22"/>
                <w:szCs w:val="22"/>
              </w:rPr>
            </w:pPr>
            <w:r w:rsidRPr="009E6B0E">
              <w:rPr>
                <w:rFonts w:cs="Arial"/>
                <w:color w:val="000000"/>
                <w:sz w:val="22"/>
                <w:szCs w:val="22"/>
              </w:rPr>
              <w:t>86 (+</w:t>
            </w:r>
            <w:r w:rsidR="009E6B0E" w:rsidRPr="009E6B0E">
              <w:rPr>
                <w:rFonts w:cs="Arial"/>
                <w:color w:val="000000"/>
                <w:sz w:val="22"/>
                <w:szCs w:val="22"/>
              </w:rPr>
              <w:t xml:space="preserve"> </w:t>
            </w:r>
            <w:r w:rsidRPr="009E6B0E">
              <w:rPr>
                <w:rFonts w:cs="Arial"/>
                <w:color w:val="000000"/>
                <w:sz w:val="22"/>
                <w:szCs w:val="22"/>
              </w:rPr>
              <w:t>25% im Vergleich zu 2017)</w:t>
            </w:r>
          </w:p>
        </w:tc>
      </w:tr>
      <w:tr w:rsidR="0048471E" w:rsidRPr="00C40C3B" w:rsidTr="00163380">
        <w:trPr>
          <w:trHeight w:val="285"/>
        </w:trPr>
        <w:tc>
          <w:tcPr>
            <w:tcW w:w="1020" w:type="dxa"/>
            <w:tcBorders>
              <w:top w:val="nil"/>
              <w:left w:val="nil"/>
              <w:bottom w:val="nil"/>
              <w:right w:val="nil"/>
            </w:tcBorders>
            <w:shd w:val="clear" w:color="auto" w:fill="auto"/>
            <w:noWrap/>
            <w:vAlign w:val="bottom"/>
            <w:hideMark/>
          </w:tcPr>
          <w:p w:rsidR="0048471E" w:rsidRPr="00C40C3B" w:rsidRDefault="0048471E" w:rsidP="00163380">
            <w:pPr>
              <w:jc w:val="center"/>
              <w:rPr>
                <w:rFonts w:cs="Arial"/>
                <w:color w:val="000000"/>
                <w:sz w:val="22"/>
                <w:szCs w:val="22"/>
              </w:rPr>
            </w:pPr>
            <w:r w:rsidRPr="00C40C3B">
              <w:rPr>
                <w:rFonts w:cs="Arial"/>
                <w:color w:val="000000"/>
                <w:sz w:val="22"/>
                <w:szCs w:val="22"/>
              </w:rPr>
              <w:t>2020</w:t>
            </w:r>
          </w:p>
        </w:tc>
        <w:tc>
          <w:tcPr>
            <w:tcW w:w="7911" w:type="dxa"/>
            <w:tcBorders>
              <w:top w:val="nil"/>
              <w:left w:val="nil"/>
              <w:bottom w:val="nil"/>
              <w:right w:val="nil"/>
            </w:tcBorders>
            <w:shd w:val="clear" w:color="auto" w:fill="auto"/>
            <w:noWrap/>
            <w:vAlign w:val="bottom"/>
            <w:hideMark/>
          </w:tcPr>
          <w:p w:rsidR="0048471E" w:rsidRPr="009E6B0E" w:rsidRDefault="0048471E" w:rsidP="00163380">
            <w:pPr>
              <w:jc w:val="center"/>
              <w:rPr>
                <w:rFonts w:cs="Arial"/>
                <w:color w:val="000000"/>
                <w:sz w:val="22"/>
                <w:szCs w:val="22"/>
              </w:rPr>
            </w:pPr>
            <w:r w:rsidRPr="009E6B0E">
              <w:rPr>
                <w:rFonts w:cs="Arial"/>
                <w:color w:val="000000"/>
                <w:sz w:val="22"/>
                <w:szCs w:val="22"/>
              </w:rPr>
              <w:t>94 (+</w:t>
            </w:r>
            <w:r w:rsidR="009E6B0E" w:rsidRPr="009E6B0E">
              <w:rPr>
                <w:rFonts w:cs="Arial"/>
                <w:color w:val="000000"/>
                <w:sz w:val="22"/>
                <w:szCs w:val="22"/>
              </w:rPr>
              <w:t xml:space="preserve"> </w:t>
            </w:r>
            <w:r w:rsidRPr="009E6B0E">
              <w:rPr>
                <w:rFonts w:cs="Arial"/>
                <w:color w:val="000000"/>
                <w:sz w:val="22"/>
                <w:szCs w:val="22"/>
              </w:rPr>
              <w:t>36% im Vergleich zu 2017)</w:t>
            </w:r>
          </w:p>
        </w:tc>
      </w:tr>
      <w:tr w:rsidR="0048471E" w:rsidRPr="00C40C3B" w:rsidTr="00163380">
        <w:trPr>
          <w:trHeight w:val="285"/>
        </w:trPr>
        <w:tc>
          <w:tcPr>
            <w:tcW w:w="1020" w:type="dxa"/>
            <w:tcBorders>
              <w:top w:val="nil"/>
              <w:left w:val="nil"/>
              <w:bottom w:val="nil"/>
              <w:right w:val="nil"/>
            </w:tcBorders>
            <w:shd w:val="clear" w:color="auto" w:fill="auto"/>
            <w:noWrap/>
            <w:vAlign w:val="bottom"/>
          </w:tcPr>
          <w:p w:rsidR="0048471E" w:rsidRPr="00C40C3B" w:rsidRDefault="0048471E" w:rsidP="00163380">
            <w:pPr>
              <w:jc w:val="center"/>
              <w:rPr>
                <w:rFonts w:cs="Arial"/>
                <w:i/>
                <w:color w:val="000000"/>
                <w:sz w:val="22"/>
                <w:szCs w:val="22"/>
              </w:rPr>
            </w:pPr>
            <w:r w:rsidRPr="00C40C3B">
              <w:rPr>
                <w:rFonts w:cs="Arial"/>
                <w:i/>
                <w:color w:val="000000"/>
                <w:sz w:val="22"/>
                <w:szCs w:val="22"/>
              </w:rPr>
              <w:t>2021</w:t>
            </w:r>
          </w:p>
        </w:tc>
        <w:tc>
          <w:tcPr>
            <w:tcW w:w="7911" w:type="dxa"/>
            <w:tcBorders>
              <w:top w:val="nil"/>
              <w:left w:val="nil"/>
              <w:bottom w:val="nil"/>
              <w:right w:val="nil"/>
            </w:tcBorders>
            <w:shd w:val="clear" w:color="auto" w:fill="auto"/>
            <w:noWrap/>
            <w:vAlign w:val="bottom"/>
          </w:tcPr>
          <w:p w:rsidR="0048471E" w:rsidRPr="00C40C3B" w:rsidRDefault="0048471E" w:rsidP="00163380">
            <w:pPr>
              <w:jc w:val="center"/>
              <w:rPr>
                <w:rFonts w:cs="Arial"/>
                <w:i/>
                <w:color w:val="000000"/>
                <w:sz w:val="22"/>
                <w:szCs w:val="22"/>
              </w:rPr>
            </w:pPr>
            <w:r w:rsidRPr="00C40C3B">
              <w:rPr>
                <w:rFonts w:cs="Arial"/>
                <w:i/>
                <w:color w:val="000000"/>
                <w:sz w:val="22"/>
                <w:szCs w:val="22"/>
              </w:rPr>
              <w:t>Zzgl. 69 Neubestellungen für Sachkundige (Änderung der Hauptsatzung)</w:t>
            </w:r>
          </w:p>
        </w:tc>
      </w:tr>
    </w:tbl>
    <w:p w:rsidR="0048471E" w:rsidRPr="00C40C3B" w:rsidRDefault="0048471E" w:rsidP="0048471E">
      <w:pPr>
        <w:jc w:val="both"/>
      </w:pPr>
    </w:p>
    <w:p w:rsidR="0048471E" w:rsidRDefault="0048471E" w:rsidP="009E6B0E">
      <w:r w:rsidRPr="00C40C3B">
        <w:t>Auch wenn die Steigerung im Jahr 2020 moderater ausgefallen ist als noch 2018, hat sich der zeitliche Aufwand für einen Einzelfall seit der Einführung einer neuen datenschutzrechtlichen Abfrage im Jahr 2019 (ausgelöst durch die DSGVO im Jahr zuvor) deutlich erhöht. Anstatt ehemals 12 persönlichen Angaben werden mittlerweile 24 Formularfelder für die Ehrenamtlichen sowie drei (anstelle von einer) Alternativen zur Datenfreigabe angeboten – die Mitarbeiter müssen als</w:t>
      </w:r>
      <w:r w:rsidR="009E6B0E">
        <w:t>o</w:t>
      </w:r>
      <w:r w:rsidRPr="00C40C3B">
        <w:t xml:space="preserve"> im Zweifel </w:t>
      </w:r>
      <w:r w:rsidRPr="009E6B0E">
        <w:t>die doppelte Datenmenge prüfen, erfassen und entsprechend der Datenfreigabe verarb</w:t>
      </w:r>
      <w:r w:rsidRPr="00C40C3B">
        <w:t>eiten.</w:t>
      </w:r>
    </w:p>
    <w:p w:rsidR="0048471E" w:rsidRDefault="0048471E" w:rsidP="009E6B0E"/>
    <w:p w:rsidR="0048471E" w:rsidRPr="006E0575" w:rsidRDefault="0048471E" w:rsidP="009E6B0E">
      <w:r>
        <w:t>Der Aufwand für die Bezirksbeiratsdatenverwaltung und -abrechnung wird weiter steigen in quantitativer Hinsicht, da durch die im Dezember 2020 vom Gemeinderat beschlossene Novelle der Hauptsatzung die Anzahl der sachkundigen Einwohner je Stadtbezirk erhöht wurde.</w:t>
      </w:r>
    </w:p>
    <w:p w:rsidR="0048471E" w:rsidRDefault="0048471E" w:rsidP="009E6B0E"/>
    <w:p w:rsidR="003D7B0B" w:rsidRPr="00165C0D" w:rsidRDefault="003D7B0B" w:rsidP="009E6B0E">
      <w:pPr>
        <w:pStyle w:val="berschrift2"/>
      </w:pPr>
      <w:r w:rsidRPr="00165C0D">
        <w:t>3.2</w:t>
      </w:r>
      <w:r w:rsidRPr="00165C0D">
        <w:tab/>
        <w:t>Bisherige Aufgabenwahrnehmung</w:t>
      </w:r>
    </w:p>
    <w:p w:rsidR="003D7B0B" w:rsidRDefault="003D7B0B" w:rsidP="009E6B0E"/>
    <w:p w:rsidR="0048471E" w:rsidRDefault="0048471E" w:rsidP="009E6B0E">
      <w:r>
        <w:t>Die Aufgaben werden zurzeit durch Mehrarbeit, die von verschiedenen Sachbearbeiter</w:t>
      </w:r>
      <w:r w:rsidR="009E6B0E">
        <w:softHyphen/>
      </w:r>
      <w:r>
        <w:t>innen im Team geleistet wird</w:t>
      </w:r>
      <w:r w:rsidR="009E6B0E">
        <w:t>,</w:t>
      </w:r>
      <w:r>
        <w:t xml:space="preserve"> aufgefangen. </w:t>
      </w:r>
    </w:p>
    <w:p w:rsidR="001C3AD6" w:rsidRDefault="001C3AD6" w:rsidP="009E6B0E"/>
    <w:p w:rsidR="003D7B0B" w:rsidRDefault="006E0575" w:rsidP="009E6B0E">
      <w:pPr>
        <w:pStyle w:val="berschrift2"/>
      </w:pPr>
      <w:r>
        <w:t>3.3</w:t>
      </w:r>
      <w:r w:rsidR="003D7B0B">
        <w:tab/>
        <w:t>Auswirkungen bei Ablehnung der Stellenschaffungen</w:t>
      </w:r>
    </w:p>
    <w:p w:rsidR="003D7B0B" w:rsidRDefault="003D7B0B" w:rsidP="009E6B0E"/>
    <w:p w:rsidR="0048471E" w:rsidRDefault="0048471E" w:rsidP="009E6B0E">
      <w:r>
        <w:t>Die Mehrarbeit kann auf Dauer nicht von den Sachbearbeiterinnen geleistet werden. Arbeiten können nur mit deutlicher zeitlicher Verzögerung oder gar nicht bearbeitet werden.</w:t>
      </w:r>
    </w:p>
    <w:p w:rsidR="003D7B0B" w:rsidRDefault="00884D6C" w:rsidP="009E6B0E">
      <w:pPr>
        <w:pStyle w:val="berschrift1"/>
      </w:pPr>
      <w:r>
        <w:t>4</w:t>
      </w:r>
      <w:r>
        <w:tab/>
      </w:r>
      <w:r w:rsidR="003D7B0B">
        <w:t>Stellenvermerke</w:t>
      </w:r>
    </w:p>
    <w:p w:rsidR="003D7B0B" w:rsidRDefault="003D7B0B" w:rsidP="009E6B0E"/>
    <w:p w:rsidR="00DE362D" w:rsidRDefault="00E34A45" w:rsidP="009E6B0E">
      <w:r>
        <w:t>Keine</w:t>
      </w:r>
    </w:p>
    <w:sectPr w:rsidR="00DE362D"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BD1" w:rsidRDefault="00650BD1">
      <w:r>
        <w:separator/>
      </w:r>
    </w:p>
  </w:endnote>
  <w:endnote w:type="continuationSeparator" w:id="0">
    <w:p w:rsidR="00650BD1" w:rsidRDefault="00650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BD1" w:rsidRDefault="00650BD1">
      <w:r>
        <w:separator/>
      </w:r>
    </w:p>
  </w:footnote>
  <w:footnote w:type="continuationSeparator" w:id="0">
    <w:p w:rsidR="00650BD1" w:rsidRDefault="00650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720CF5">
      <w:rPr>
        <w:rStyle w:val="Seitenzahl"/>
        <w:noProof/>
      </w:rPr>
      <w:t>2</w:t>
    </w:r>
    <w:r w:rsidR="0072799A">
      <w:rPr>
        <w:rStyle w:val="Seitenzahl"/>
      </w:rPr>
      <w:fldChar w:fldCharType="end"/>
    </w:r>
    <w:r>
      <w:rPr>
        <w:rStyle w:val="Seitenzahl"/>
      </w:rPr>
      <w:t xml:space="preserve"> -</w:t>
    </w:r>
  </w:p>
  <w:p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386534EF"/>
    <w:multiLevelType w:val="hybridMultilevel"/>
    <w:tmpl w:val="C388EA0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3F54E6F"/>
    <w:multiLevelType w:val="hybridMultilevel"/>
    <w:tmpl w:val="06648D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6"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7" w15:restartNumberingAfterBreak="0">
    <w:nsid w:val="729E6D25"/>
    <w:multiLevelType w:val="hybridMultilevel"/>
    <w:tmpl w:val="CEE0EAF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7F8974FA"/>
    <w:multiLevelType w:val="hybridMultilevel"/>
    <w:tmpl w:val="BB08D7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5"/>
  </w:num>
  <w:num w:numId="5">
    <w:abstractNumId w:val="6"/>
  </w:num>
  <w:num w:numId="6">
    <w:abstractNumId w:val="7"/>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6FB"/>
    <w:rsid w:val="00055758"/>
    <w:rsid w:val="000A1146"/>
    <w:rsid w:val="001034AF"/>
    <w:rsid w:val="0011112B"/>
    <w:rsid w:val="0014415D"/>
    <w:rsid w:val="00151488"/>
    <w:rsid w:val="00163034"/>
    <w:rsid w:val="00164678"/>
    <w:rsid w:val="00165C0D"/>
    <w:rsid w:val="00181857"/>
    <w:rsid w:val="00184EDC"/>
    <w:rsid w:val="00194770"/>
    <w:rsid w:val="001A3323"/>
    <w:rsid w:val="001A5F9B"/>
    <w:rsid w:val="001B2402"/>
    <w:rsid w:val="001C3AD6"/>
    <w:rsid w:val="001D1EBF"/>
    <w:rsid w:val="001F7237"/>
    <w:rsid w:val="0024144F"/>
    <w:rsid w:val="002421B2"/>
    <w:rsid w:val="002924CB"/>
    <w:rsid w:val="002A20D1"/>
    <w:rsid w:val="002A4DE3"/>
    <w:rsid w:val="002A5BCD"/>
    <w:rsid w:val="002B5955"/>
    <w:rsid w:val="0030686C"/>
    <w:rsid w:val="00380937"/>
    <w:rsid w:val="003841CC"/>
    <w:rsid w:val="00397717"/>
    <w:rsid w:val="003A65C8"/>
    <w:rsid w:val="003B3334"/>
    <w:rsid w:val="003D7B0B"/>
    <w:rsid w:val="003F0FAA"/>
    <w:rsid w:val="0046522D"/>
    <w:rsid w:val="00470135"/>
    <w:rsid w:val="0047606A"/>
    <w:rsid w:val="00477532"/>
    <w:rsid w:val="0048471E"/>
    <w:rsid w:val="004908B5"/>
    <w:rsid w:val="0049121B"/>
    <w:rsid w:val="004A1688"/>
    <w:rsid w:val="004B6796"/>
    <w:rsid w:val="004B6F32"/>
    <w:rsid w:val="00541864"/>
    <w:rsid w:val="00574A7E"/>
    <w:rsid w:val="005A0A9D"/>
    <w:rsid w:val="005A56AA"/>
    <w:rsid w:val="005E19C6"/>
    <w:rsid w:val="005F5B3D"/>
    <w:rsid w:val="00601E91"/>
    <w:rsid w:val="00606F80"/>
    <w:rsid w:val="00622CC7"/>
    <w:rsid w:val="00647F9F"/>
    <w:rsid w:val="00650BD1"/>
    <w:rsid w:val="0065223F"/>
    <w:rsid w:val="006A406B"/>
    <w:rsid w:val="006B6D50"/>
    <w:rsid w:val="006C6ADC"/>
    <w:rsid w:val="006E0575"/>
    <w:rsid w:val="00720CF5"/>
    <w:rsid w:val="0072799A"/>
    <w:rsid w:val="00754659"/>
    <w:rsid w:val="00790009"/>
    <w:rsid w:val="007B69CD"/>
    <w:rsid w:val="007E16BA"/>
    <w:rsid w:val="007E3B79"/>
    <w:rsid w:val="007E6D6A"/>
    <w:rsid w:val="008066EE"/>
    <w:rsid w:val="00817BB6"/>
    <w:rsid w:val="00822703"/>
    <w:rsid w:val="00826DBE"/>
    <w:rsid w:val="00846E64"/>
    <w:rsid w:val="00884D6C"/>
    <w:rsid w:val="008A76FB"/>
    <w:rsid w:val="008C0D1E"/>
    <w:rsid w:val="00920F00"/>
    <w:rsid w:val="009252D4"/>
    <w:rsid w:val="009373F6"/>
    <w:rsid w:val="0095381A"/>
    <w:rsid w:val="00976588"/>
    <w:rsid w:val="00976C70"/>
    <w:rsid w:val="009C44A4"/>
    <w:rsid w:val="009E6633"/>
    <w:rsid w:val="009E6B0E"/>
    <w:rsid w:val="00A27CA7"/>
    <w:rsid w:val="00A45B30"/>
    <w:rsid w:val="00A71D0A"/>
    <w:rsid w:val="00A77F1E"/>
    <w:rsid w:val="00A847C4"/>
    <w:rsid w:val="00A953E4"/>
    <w:rsid w:val="00AB389D"/>
    <w:rsid w:val="00AE7B02"/>
    <w:rsid w:val="00AF0DEA"/>
    <w:rsid w:val="00AF25E0"/>
    <w:rsid w:val="00B04290"/>
    <w:rsid w:val="00B473B3"/>
    <w:rsid w:val="00B80DEF"/>
    <w:rsid w:val="00B86BB5"/>
    <w:rsid w:val="00B91903"/>
    <w:rsid w:val="00BC4669"/>
    <w:rsid w:val="00BF72AE"/>
    <w:rsid w:val="00C16EF1"/>
    <w:rsid w:val="00C448D3"/>
    <w:rsid w:val="00C919CB"/>
    <w:rsid w:val="00CE1FEC"/>
    <w:rsid w:val="00CF62E5"/>
    <w:rsid w:val="00D66D3A"/>
    <w:rsid w:val="00D743D4"/>
    <w:rsid w:val="00DB3D6C"/>
    <w:rsid w:val="00DE362D"/>
    <w:rsid w:val="00E014B6"/>
    <w:rsid w:val="00E1162F"/>
    <w:rsid w:val="00E11D5F"/>
    <w:rsid w:val="00E20E1F"/>
    <w:rsid w:val="00E34A45"/>
    <w:rsid w:val="00E42F96"/>
    <w:rsid w:val="00E7118F"/>
    <w:rsid w:val="00E72D53"/>
    <w:rsid w:val="00E8047B"/>
    <w:rsid w:val="00EA56D2"/>
    <w:rsid w:val="00EC643A"/>
    <w:rsid w:val="00F27657"/>
    <w:rsid w:val="00F342DC"/>
    <w:rsid w:val="00F56F93"/>
    <w:rsid w:val="00F62821"/>
    <w:rsid w:val="00F63041"/>
    <w:rsid w:val="00F76452"/>
    <w:rsid w:val="00F837F8"/>
    <w:rsid w:val="00FA6602"/>
    <w:rsid w:val="00FA69B8"/>
    <w:rsid w:val="00FD03FE"/>
    <w:rsid w:val="00FD6B46"/>
    <w:rsid w:val="00FF4354"/>
    <w:rsid w:val="00FF5C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31E4C"/>
  <w15:docId w15:val="{B9721E6C-65A4-4740-B428-07A399859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link w:val="KommentartextZchn"/>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477532"/>
    <w:pPr>
      <w:ind w:left="720"/>
      <w:contextualSpacing/>
    </w:pPr>
  </w:style>
  <w:style w:type="paragraph" w:styleId="Kommentarthema">
    <w:name w:val="annotation subject"/>
    <w:basedOn w:val="Kommentartext"/>
    <w:next w:val="Kommentartext"/>
    <w:link w:val="KommentarthemaZchn"/>
    <w:semiHidden/>
    <w:unhideWhenUsed/>
    <w:rsid w:val="0024144F"/>
    <w:rPr>
      <w:b/>
      <w:bCs/>
      <w:szCs w:val="20"/>
    </w:rPr>
  </w:style>
  <w:style w:type="character" w:customStyle="1" w:styleId="KommentartextZchn">
    <w:name w:val="Kommentartext Zchn"/>
    <w:basedOn w:val="Absatz-Standardschriftart"/>
    <w:link w:val="Kommentartext"/>
    <w:semiHidden/>
    <w:rsid w:val="0024144F"/>
    <w:rPr>
      <w:sz w:val="20"/>
    </w:rPr>
  </w:style>
  <w:style w:type="character" w:customStyle="1" w:styleId="KommentarthemaZchn">
    <w:name w:val="Kommentarthema Zchn"/>
    <w:basedOn w:val="KommentartextZchn"/>
    <w:link w:val="Kommentarthema"/>
    <w:semiHidden/>
    <w:rsid w:val="002414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04063\AppData\Local\Temp\l112_muster_schaff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l112_muster_schaffung.dotx</Template>
  <TotalTime>0</TotalTime>
  <Pages>2</Pages>
  <Words>398</Words>
  <Characters>2678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2022/2023</dc:subject>
  <dc:creator>Walch, Heike</dc:creator>
  <cp:lastModifiedBy>Baumann, Gerhard</cp:lastModifiedBy>
  <cp:revision>5</cp:revision>
  <cp:lastPrinted>2021-01-22T06:45:00Z</cp:lastPrinted>
  <dcterms:created xsi:type="dcterms:W3CDTF">2021-07-22T10:16:00Z</dcterms:created>
  <dcterms:modified xsi:type="dcterms:W3CDTF">2021-09-29T09:21:00Z</dcterms:modified>
</cp:coreProperties>
</file>