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E6F3E">
        <w:rPr>
          <w:szCs w:val="24"/>
        </w:rPr>
        <w:t>10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346502">
        <w:rPr>
          <w:szCs w:val="24"/>
        </w:rPr>
        <w:t>928</w:t>
      </w:r>
      <w:r w:rsidR="005F5B3D">
        <w:rPr>
          <w:szCs w:val="24"/>
        </w:rPr>
        <w:t>/201</w:t>
      </w:r>
      <w:r w:rsidR="00B10E22">
        <w:rPr>
          <w:szCs w:val="24"/>
        </w:rPr>
        <w:t>8</w:t>
      </w:r>
    </w:p>
    <w:p w:rsidR="000E08E0" w:rsidRDefault="000E08E0" w:rsidP="006E0575"/>
    <w:p w:rsidR="00786408" w:rsidRDefault="00786408" w:rsidP="006E0575"/>
    <w:p w:rsidR="00786408" w:rsidRPr="006E0575" w:rsidRDefault="00786408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>
        <w:rPr>
          <w:b/>
          <w:sz w:val="36"/>
          <w:u w:val="single"/>
        </w:rPr>
        <w:t>20</w:t>
      </w:r>
    </w:p>
    <w:p w:rsidR="000E08E0" w:rsidRDefault="000E08E0" w:rsidP="006E0575"/>
    <w:p w:rsidR="00786408" w:rsidRDefault="00786408" w:rsidP="006E0575"/>
    <w:p w:rsidR="00786408" w:rsidRDefault="00786408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1819"/>
        <w:gridCol w:w="875"/>
        <w:gridCol w:w="1984"/>
        <w:gridCol w:w="709"/>
        <w:gridCol w:w="1025"/>
        <w:gridCol w:w="1417"/>
      </w:tblGrid>
      <w:tr w:rsidR="005F5B3D" w:rsidRPr="006E0575" w:rsidTr="00C5238B">
        <w:trPr>
          <w:tblHeader/>
        </w:trPr>
        <w:tc>
          <w:tcPr>
            <w:tcW w:w="1696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819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75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8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09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025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AD48F5" w:rsidRPr="006E0575" w:rsidTr="00C5238B">
        <w:tc>
          <w:tcPr>
            <w:tcW w:w="1696" w:type="dxa"/>
          </w:tcPr>
          <w:p w:rsidR="00AD48F5" w:rsidRPr="00156ADA" w:rsidRDefault="00AD48F5" w:rsidP="00AD48F5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AD48F5" w:rsidRDefault="00C5238B" w:rsidP="00AD4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290 0</w:t>
            </w:r>
            <w:r w:rsidR="002B372F">
              <w:rPr>
                <w:rFonts w:cs="Arial"/>
                <w:sz w:val="18"/>
                <w:szCs w:val="18"/>
              </w:rPr>
              <w:t>0</w:t>
            </w:r>
            <w:r w:rsidR="00AD48F5" w:rsidRPr="00AD48F5">
              <w:rPr>
                <w:rFonts w:cs="Arial"/>
                <w:sz w:val="18"/>
                <w:szCs w:val="18"/>
              </w:rPr>
              <w:t>00 XXX</w:t>
            </w:r>
          </w:p>
          <w:p w:rsidR="00977100" w:rsidRDefault="00977100" w:rsidP="00AD48F5">
            <w:pPr>
              <w:rPr>
                <w:rFonts w:cs="Arial"/>
                <w:sz w:val="18"/>
                <w:szCs w:val="18"/>
              </w:rPr>
            </w:pPr>
          </w:p>
          <w:p w:rsidR="00553F21" w:rsidRPr="00553F21" w:rsidRDefault="00553F21" w:rsidP="00553F2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53F21">
              <w:rPr>
                <w:rFonts w:cs="Arial"/>
                <w:color w:val="000000"/>
                <w:sz w:val="18"/>
                <w:szCs w:val="18"/>
              </w:rPr>
              <w:t>29005902</w:t>
            </w:r>
          </w:p>
          <w:p w:rsidR="00AD48F5" w:rsidRPr="00156ADA" w:rsidRDefault="00AD48F5" w:rsidP="002B37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AD48F5" w:rsidRPr="002A31E2" w:rsidRDefault="00AD48F5" w:rsidP="00AD48F5">
            <w:pPr>
              <w:rPr>
                <w:rFonts w:cs="Arial"/>
                <w:sz w:val="14"/>
                <w:szCs w:val="14"/>
              </w:rPr>
            </w:pPr>
          </w:p>
          <w:p w:rsidR="00AD48F5" w:rsidRDefault="00C5238B" w:rsidP="00AD4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Jobcenter</w:t>
            </w:r>
          </w:p>
          <w:p w:rsidR="00AD48F5" w:rsidRDefault="00AD48F5" w:rsidP="00AD48F5">
            <w:pPr>
              <w:rPr>
                <w:rFonts w:cs="Arial"/>
                <w:sz w:val="18"/>
                <w:szCs w:val="18"/>
              </w:rPr>
            </w:pPr>
          </w:p>
          <w:p w:rsidR="00AD48F5" w:rsidRPr="002B372F" w:rsidRDefault="00C523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Medizinisch-Psychologischer Dienst</w:t>
            </w:r>
          </w:p>
        </w:tc>
        <w:tc>
          <w:tcPr>
            <w:tcW w:w="875" w:type="dxa"/>
          </w:tcPr>
          <w:p w:rsidR="00AD48F5" w:rsidRPr="002A31E2" w:rsidRDefault="00AD48F5" w:rsidP="00AD48F5">
            <w:pPr>
              <w:rPr>
                <w:rFonts w:cs="Arial"/>
                <w:sz w:val="14"/>
                <w:szCs w:val="14"/>
              </w:rPr>
            </w:pPr>
          </w:p>
          <w:p w:rsidR="00AD48F5" w:rsidRPr="00AD48F5" w:rsidRDefault="00C5238B" w:rsidP="00AD4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 13 TVöD</w:t>
            </w:r>
          </w:p>
        </w:tc>
        <w:tc>
          <w:tcPr>
            <w:tcW w:w="1984" w:type="dxa"/>
          </w:tcPr>
          <w:p w:rsidR="00AD48F5" w:rsidRDefault="00AD48F5" w:rsidP="00AD48F5">
            <w:pPr>
              <w:rPr>
                <w:rFonts w:cs="Arial"/>
                <w:sz w:val="18"/>
                <w:szCs w:val="18"/>
              </w:rPr>
            </w:pPr>
          </w:p>
          <w:p w:rsidR="00AD48F5" w:rsidRDefault="00C5238B" w:rsidP="00AD4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Umsetzung BTHG</w:t>
            </w:r>
          </w:p>
          <w:p w:rsidR="00C5238B" w:rsidRPr="00156ADA" w:rsidRDefault="00C5238B" w:rsidP="00AD48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48F5" w:rsidRPr="00156ADA" w:rsidRDefault="00AD48F5" w:rsidP="00AD48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AD48F5" w:rsidRPr="00156ADA" w:rsidRDefault="00AD48F5" w:rsidP="00AD48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</w:t>
            </w:r>
          </w:p>
        </w:tc>
        <w:tc>
          <w:tcPr>
            <w:tcW w:w="1025" w:type="dxa"/>
          </w:tcPr>
          <w:p w:rsidR="00AD48F5" w:rsidRPr="00156ADA" w:rsidRDefault="00AD48F5" w:rsidP="00AD48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D48F5" w:rsidRPr="00AE046D" w:rsidRDefault="00346502" w:rsidP="003465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:rsidR="00AD48F5" w:rsidRPr="00156ADA" w:rsidRDefault="00AD48F5" w:rsidP="004047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B0D10" w:rsidRDefault="006E6F3E" w:rsidP="004047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(84.300)</w:t>
            </w:r>
          </w:p>
          <w:p w:rsidR="00346502" w:rsidRPr="00156ADA" w:rsidRDefault="006E6F3E" w:rsidP="004047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hh</w:t>
            </w:r>
            <w:bookmarkStart w:id="0" w:name="_GoBack"/>
            <w:bookmarkEnd w:id="0"/>
            <w:r w:rsidR="00FB0D10">
              <w:rPr>
                <w:rFonts w:cs="Arial"/>
                <w:sz w:val="18"/>
                <w:szCs w:val="18"/>
              </w:rPr>
              <w:t>-neutral*</w:t>
            </w:r>
          </w:p>
        </w:tc>
      </w:tr>
    </w:tbl>
    <w:p w:rsidR="00FB0D10" w:rsidRDefault="00FB0D10" w:rsidP="00FB0D10">
      <w:pPr>
        <w:rPr>
          <w:b/>
          <w:sz w:val="16"/>
          <w:szCs w:val="16"/>
        </w:rPr>
      </w:pPr>
    </w:p>
    <w:p w:rsidR="00FB0D10" w:rsidRDefault="00FB0D10" w:rsidP="00FB0D10">
      <w:pPr>
        <w:rPr>
          <w:rStyle w:val="CharacterStyle1"/>
          <w:rFonts w:cs="Arial"/>
          <w:sz w:val="16"/>
          <w:szCs w:val="16"/>
        </w:rPr>
      </w:pPr>
      <w:r w:rsidRPr="00FB0D10">
        <w:rPr>
          <w:b/>
          <w:sz w:val="16"/>
          <w:szCs w:val="16"/>
        </w:rPr>
        <w:t>*</w:t>
      </w:r>
      <w:r w:rsidRPr="00FB0D10">
        <w:rPr>
          <w:rFonts w:cs="Arial"/>
          <w:sz w:val="16"/>
          <w:szCs w:val="16"/>
        </w:rPr>
        <w:t xml:space="preserve"> </w:t>
      </w:r>
      <w:r w:rsidRPr="00FB0D10">
        <w:rPr>
          <w:rStyle w:val="CharacterStyle1"/>
          <w:rFonts w:cs="Arial"/>
          <w:sz w:val="16"/>
          <w:szCs w:val="16"/>
        </w:rPr>
        <w:t>Gemäß Kommunalträger-Abrechnungsverwaltungsvorschrift (</w:t>
      </w:r>
      <w:proofErr w:type="spellStart"/>
      <w:r w:rsidRPr="00FB0D10">
        <w:rPr>
          <w:rStyle w:val="CharacterStyle1"/>
          <w:rFonts w:cs="Arial"/>
          <w:sz w:val="16"/>
          <w:szCs w:val="16"/>
        </w:rPr>
        <w:t>KoA</w:t>
      </w:r>
      <w:proofErr w:type="spellEnd"/>
      <w:r w:rsidRPr="00FB0D10">
        <w:rPr>
          <w:rStyle w:val="CharacterStyle1"/>
          <w:rFonts w:cs="Arial"/>
          <w:sz w:val="16"/>
          <w:szCs w:val="16"/>
        </w:rPr>
        <w:t xml:space="preserve">-VV) erfolgt die Abrechnung der Personalkosten operativer Stellen mit dem Bund spitz, für die Personalneben-, Sach- und Gemeinkosten werden Pauschalen zugrunde gelegt. Der Anteil des Bundes an den Kosten beträgt 84,8 %, der kommunale Finanzierungsanteil (KFA) beträgt 15,2 %. Inklusive aller Pauschalen übersteigt die Erstattung des Bundes den kostenwirksamen Aufwand, der bei der Landeshauptstadt Stuttgart für die operative Stelle entsteht. </w:t>
      </w:r>
    </w:p>
    <w:p w:rsidR="00786408" w:rsidRDefault="00786408" w:rsidP="00FB0D10">
      <w:pPr>
        <w:rPr>
          <w:rStyle w:val="CharacterStyle1"/>
          <w:rFonts w:cs="Arial"/>
          <w:sz w:val="16"/>
          <w:szCs w:val="16"/>
        </w:rPr>
      </w:pP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C5238B" w:rsidRDefault="00390559" w:rsidP="00884D6C">
      <w:pPr>
        <w:rPr>
          <w:szCs w:val="24"/>
        </w:rPr>
      </w:pPr>
      <w:r w:rsidRPr="00C5238B">
        <w:rPr>
          <w:szCs w:val="24"/>
        </w:rPr>
        <w:t xml:space="preserve">Beantragt wird die Schaffung von </w:t>
      </w:r>
      <w:r w:rsidR="006B3EC8" w:rsidRPr="00C5238B">
        <w:rPr>
          <w:szCs w:val="24"/>
        </w:rPr>
        <w:t>1,00</w:t>
      </w:r>
      <w:r w:rsidRPr="00C5238B">
        <w:rPr>
          <w:szCs w:val="24"/>
        </w:rPr>
        <w:t xml:space="preserve"> Stelle </w:t>
      </w:r>
      <w:r w:rsidR="006B3EC8" w:rsidRPr="00C5238B">
        <w:rPr>
          <w:szCs w:val="24"/>
        </w:rPr>
        <w:t>in</w:t>
      </w:r>
      <w:r w:rsidR="006B3EC8" w:rsidRPr="00C5238B">
        <w:rPr>
          <w:rFonts w:eastAsiaTheme="minorEastAsia" w:cs="Arial"/>
          <w:szCs w:val="24"/>
        </w:rPr>
        <w:t xml:space="preserve"> </w:t>
      </w:r>
      <w:r w:rsidR="00C5238B" w:rsidRPr="00C5238B">
        <w:rPr>
          <w:rFonts w:eastAsiaTheme="minorEastAsia" w:cs="Arial"/>
          <w:szCs w:val="24"/>
        </w:rPr>
        <w:t>EG 13 TVöD</w:t>
      </w:r>
      <w:r w:rsidR="006B3EC8" w:rsidRPr="00C5238B">
        <w:rPr>
          <w:rFonts w:eastAsiaTheme="minorEastAsia" w:cs="Arial"/>
          <w:szCs w:val="24"/>
        </w:rPr>
        <w:t xml:space="preserve"> für </w:t>
      </w:r>
      <w:r w:rsidR="002B372F" w:rsidRPr="00C5238B">
        <w:rPr>
          <w:rFonts w:eastAsiaTheme="minorEastAsia" w:cs="Arial"/>
          <w:szCs w:val="24"/>
        </w:rPr>
        <w:t>die</w:t>
      </w:r>
      <w:r w:rsidR="00C5238B" w:rsidRPr="00C5238B">
        <w:rPr>
          <w:rFonts w:cs="Arial"/>
          <w:szCs w:val="24"/>
        </w:rPr>
        <w:t xml:space="preserve"> Planung/Koordination </w:t>
      </w:r>
      <w:r w:rsidR="00C5238B">
        <w:rPr>
          <w:rFonts w:cs="Arial"/>
          <w:szCs w:val="24"/>
        </w:rPr>
        <w:t xml:space="preserve">der </w:t>
      </w:r>
      <w:r w:rsidR="00C5238B" w:rsidRPr="00C5238B">
        <w:rPr>
          <w:rFonts w:cs="Arial"/>
          <w:szCs w:val="24"/>
        </w:rPr>
        <w:t>Rehabilitation und Inklusion</w:t>
      </w:r>
      <w:r w:rsidR="00C5238B">
        <w:rPr>
          <w:rFonts w:cs="Arial"/>
          <w:szCs w:val="24"/>
        </w:rPr>
        <w:t xml:space="preserve"> im Zuge der Umsetzung des </w:t>
      </w:r>
      <w:r w:rsidR="00FB0D10">
        <w:rPr>
          <w:rFonts w:cs="Arial"/>
          <w:szCs w:val="24"/>
        </w:rPr>
        <w:t>neuen</w:t>
      </w:r>
      <w:r w:rsidR="00FB0D10" w:rsidRPr="00C5238B">
        <w:rPr>
          <w:rFonts w:cs="Arial"/>
          <w:szCs w:val="24"/>
        </w:rPr>
        <w:t xml:space="preserve"> Leistungsrecht</w:t>
      </w:r>
      <w:r w:rsidR="00FB0D10">
        <w:rPr>
          <w:rFonts w:cs="Arial"/>
          <w:szCs w:val="24"/>
        </w:rPr>
        <w:t>s</w:t>
      </w:r>
      <w:r w:rsidR="00FB0D10" w:rsidRPr="00C5238B">
        <w:rPr>
          <w:rFonts w:cs="Arial"/>
          <w:szCs w:val="24"/>
        </w:rPr>
        <w:t xml:space="preserve"> der Eingliederungshilfe </w:t>
      </w:r>
      <w:r w:rsidR="00C5238B">
        <w:rPr>
          <w:rFonts w:cs="Arial"/>
          <w:szCs w:val="24"/>
        </w:rPr>
        <w:t xml:space="preserve">BTHG </w:t>
      </w:r>
      <w:r w:rsidR="00FB0D10">
        <w:rPr>
          <w:rFonts w:cs="Arial"/>
          <w:szCs w:val="24"/>
        </w:rPr>
        <w:t xml:space="preserve">(Bundesteilhabegesetz) </w:t>
      </w:r>
      <w:r w:rsidR="00C5238B">
        <w:rPr>
          <w:rFonts w:cs="Arial"/>
          <w:szCs w:val="24"/>
        </w:rPr>
        <w:t>beim Jobcenter.</w:t>
      </w:r>
      <w:r w:rsidR="002B372F" w:rsidRPr="00C5238B">
        <w:rPr>
          <w:rFonts w:eastAsiaTheme="minorEastAsia" w:cs="Arial"/>
          <w:szCs w:val="24"/>
        </w:rPr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6B3EC8" w:rsidRPr="002B372F" w:rsidRDefault="002B372F" w:rsidP="006B3EC8">
      <w:pPr>
        <w:rPr>
          <w:rFonts w:eastAsiaTheme="minorEastAsia" w:cs="Arial"/>
          <w:szCs w:val="24"/>
        </w:rPr>
      </w:pPr>
      <w:r w:rsidRPr="002B372F">
        <w:rPr>
          <w:rFonts w:eastAsiaTheme="minorEastAsia" w:cs="Arial"/>
          <w:szCs w:val="24"/>
        </w:rPr>
        <w:t>Auf die ausführlich</w:t>
      </w:r>
      <w:r w:rsidR="00C5238B">
        <w:rPr>
          <w:rFonts w:eastAsiaTheme="minorEastAsia" w:cs="Arial"/>
          <w:szCs w:val="24"/>
        </w:rPr>
        <w:t xml:space="preserve">en Begründungen in der </w:t>
      </w:r>
      <w:proofErr w:type="spellStart"/>
      <w:r w:rsidR="00C5238B">
        <w:rPr>
          <w:rFonts w:eastAsiaTheme="minorEastAsia" w:cs="Arial"/>
          <w:szCs w:val="24"/>
        </w:rPr>
        <w:t>GRDrs</w:t>
      </w:r>
      <w:proofErr w:type="spellEnd"/>
      <w:r w:rsidR="00C5238B">
        <w:rPr>
          <w:rFonts w:eastAsiaTheme="minorEastAsia" w:cs="Arial"/>
          <w:szCs w:val="24"/>
        </w:rPr>
        <w:t xml:space="preserve"> 794</w:t>
      </w:r>
      <w:r w:rsidRPr="002B372F">
        <w:rPr>
          <w:rFonts w:eastAsiaTheme="minorEastAsia" w:cs="Arial"/>
          <w:szCs w:val="24"/>
        </w:rPr>
        <w:t>/2018 wird Bezug genommen.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CD7322" w:rsidRDefault="00CD7322" w:rsidP="00CD7322"/>
    <w:p w:rsidR="00C5238B" w:rsidRPr="002159BC" w:rsidRDefault="00C5238B" w:rsidP="00C5238B">
      <w:pPr>
        <w:rPr>
          <w:rFonts w:cs="Arial"/>
          <w:szCs w:val="24"/>
        </w:rPr>
      </w:pPr>
      <w:r>
        <w:rPr>
          <w:rFonts w:cs="Arial"/>
          <w:szCs w:val="24"/>
        </w:rPr>
        <w:t xml:space="preserve">Das </w:t>
      </w:r>
      <w:r w:rsidR="00FB0D10">
        <w:rPr>
          <w:rFonts w:cs="Arial"/>
          <w:szCs w:val="24"/>
        </w:rPr>
        <w:t>BTHG</w:t>
      </w:r>
      <w:r w:rsidRPr="00C5238B">
        <w:rPr>
          <w:rFonts w:cs="Arial"/>
          <w:szCs w:val="24"/>
        </w:rPr>
        <w:t xml:space="preserve"> </w:t>
      </w:r>
      <w:r w:rsidRPr="002159BC">
        <w:rPr>
          <w:rFonts w:cs="Arial"/>
          <w:szCs w:val="24"/>
        </w:rPr>
        <w:t>bringt auch für das Jobcenter Stuttgart neue Aufgaben mit sich.</w:t>
      </w:r>
    </w:p>
    <w:p w:rsidR="00CD7322" w:rsidRPr="00CD7322" w:rsidRDefault="00CD7322" w:rsidP="00CD7322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0E08E0" w:rsidRDefault="000E08E0" w:rsidP="000E08E0">
      <w:r>
        <w:t>Die Aufgaben der Eingliederungshilfe wurden seither (nach altem Recht) beim Jobcenter in den Zweigstellen wahrgenommen.</w:t>
      </w:r>
      <w:r w:rsidR="00786408">
        <w:t xml:space="preserve"> </w:t>
      </w:r>
      <w:r w:rsidR="00776116">
        <w:t xml:space="preserve">Dies wird auch weiterhin so sein. </w:t>
      </w:r>
      <w:r w:rsidR="00786408">
        <w:t>Eine zentrale Stelle für die Planung und Koordination gab es jedoch seither nicht. Die Notwendigkeit hierfür ergibt sich aus den veränderten Anforderungen des BTHG.</w:t>
      </w:r>
    </w:p>
    <w:p w:rsidR="00CD7322" w:rsidRDefault="00CD7322" w:rsidP="00884D6C"/>
    <w:p w:rsidR="00786408" w:rsidRDefault="00786408" w:rsidP="00884D6C"/>
    <w:p w:rsidR="00786408" w:rsidRDefault="00786408" w:rsidP="00884D6C"/>
    <w:p w:rsidR="00786408" w:rsidRDefault="00786408" w:rsidP="00884D6C"/>
    <w:p w:rsidR="00786408" w:rsidRDefault="00786408" w:rsidP="00884D6C"/>
    <w:p w:rsidR="00786408" w:rsidRDefault="00786408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FC1BCB" w:rsidRDefault="00FC1BCB" w:rsidP="00FC1BCB"/>
    <w:p w:rsidR="00FC1BCB" w:rsidRPr="002159BC" w:rsidRDefault="00FC1BCB" w:rsidP="00FC1BCB">
      <w:pPr>
        <w:rPr>
          <w:rFonts w:cs="Arial"/>
          <w:szCs w:val="24"/>
        </w:rPr>
      </w:pPr>
      <w:r w:rsidRPr="002159BC">
        <w:rPr>
          <w:rFonts w:cs="Arial"/>
          <w:szCs w:val="24"/>
        </w:rPr>
        <w:t xml:space="preserve">Mit der neuen Stelle Planung/Koordination </w:t>
      </w:r>
      <w:r w:rsidRPr="00863B9D">
        <w:rPr>
          <w:rFonts w:cs="Arial"/>
          <w:szCs w:val="24"/>
        </w:rPr>
        <w:t xml:space="preserve">Rehabilitation und Inklusion </w:t>
      </w:r>
      <w:r w:rsidRPr="002159BC">
        <w:rPr>
          <w:rFonts w:cs="Arial"/>
          <w:szCs w:val="24"/>
        </w:rPr>
        <w:t>wird sichergestellt, dass die Aufgabenstellungen</w:t>
      </w:r>
      <w:r>
        <w:rPr>
          <w:rFonts w:cs="Arial"/>
          <w:szCs w:val="24"/>
        </w:rPr>
        <w:t>,</w:t>
      </w:r>
      <w:r w:rsidRPr="002159BC">
        <w:rPr>
          <w:rFonts w:cs="Arial"/>
          <w:szCs w:val="24"/>
        </w:rPr>
        <w:t xml:space="preserve"> die sich aus dem BTHG ergeben, mit </w:t>
      </w:r>
      <w:r>
        <w:rPr>
          <w:rFonts w:cs="Arial"/>
          <w:szCs w:val="24"/>
        </w:rPr>
        <w:t xml:space="preserve">den </w:t>
      </w:r>
      <w:r w:rsidRPr="002159BC">
        <w:rPr>
          <w:rFonts w:cs="Arial"/>
          <w:szCs w:val="24"/>
        </w:rPr>
        <w:t xml:space="preserve">bestehenden Strukturen und Maßnahmen </w:t>
      </w:r>
      <w:r>
        <w:rPr>
          <w:rFonts w:cs="Arial"/>
          <w:szCs w:val="24"/>
        </w:rPr>
        <w:t xml:space="preserve">im Jobcenter </w:t>
      </w:r>
      <w:r w:rsidRPr="002159BC">
        <w:rPr>
          <w:rFonts w:cs="Arial"/>
          <w:szCs w:val="24"/>
        </w:rPr>
        <w:t xml:space="preserve">abgestimmt und bedarfsgerecht weiterentwickelt werden können. </w:t>
      </w:r>
    </w:p>
    <w:p w:rsidR="003D7B0B" w:rsidRPr="004047CC" w:rsidRDefault="00884D6C" w:rsidP="00884D6C">
      <w:pPr>
        <w:pStyle w:val="berschrift1"/>
      </w:pPr>
      <w:r w:rsidRPr="004047CC">
        <w:t>4</w:t>
      </w:r>
      <w:r w:rsidRPr="004047CC">
        <w:tab/>
      </w:r>
      <w:r w:rsidR="003D7B0B" w:rsidRPr="004047CC">
        <w:t>Stellenvermerke</w:t>
      </w:r>
    </w:p>
    <w:p w:rsidR="003D7B0B" w:rsidRPr="004047CC" w:rsidRDefault="003D7B0B" w:rsidP="00884D6C"/>
    <w:p w:rsidR="00AD48F5" w:rsidRPr="004047CC" w:rsidRDefault="0067174E" w:rsidP="00884D6C">
      <w:r w:rsidRPr="004047CC">
        <w:t>keine</w:t>
      </w:r>
    </w:p>
    <w:sectPr w:rsidR="00AD48F5" w:rsidRPr="004047CC" w:rsidSect="00786408">
      <w:headerReference w:type="default" r:id="rId7"/>
      <w:pgSz w:w="11907" w:h="16840" w:code="9"/>
      <w:pgMar w:top="1134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01" w:rsidRDefault="00F33301">
      <w:r>
        <w:separator/>
      </w:r>
    </w:p>
  </w:endnote>
  <w:endnote w:type="continuationSeparator" w:id="0">
    <w:p w:rsidR="00F33301" w:rsidRDefault="00F3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01" w:rsidRDefault="00F33301">
      <w:r>
        <w:separator/>
      </w:r>
    </w:p>
  </w:footnote>
  <w:footnote w:type="continuationSeparator" w:id="0">
    <w:p w:rsidR="00F33301" w:rsidRDefault="00F3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6E6F3E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E7DE8"/>
    <w:multiLevelType w:val="hybridMultilevel"/>
    <w:tmpl w:val="8FF2C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2D766CF"/>
    <w:multiLevelType w:val="hybridMultilevel"/>
    <w:tmpl w:val="E968BDC4"/>
    <w:lvl w:ilvl="0" w:tplc="8252E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E08E0"/>
    <w:rsid w:val="000E5896"/>
    <w:rsid w:val="0011112B"/>
    <w:rsid w:val="00124DEF"/>
    <w:rsid w:val="001275F2"/>
    <w:rsid w:val="0014415D"/>
    <w:rsid w:val="00162DCD"/>
    <w:rsid w:val="00163034"/>
    <w:rsid w:val="00165C0D"/>
    <w:rsid w:val="00173463"/>
    <w:rsid w:val="00181857"/>
    <w:rsid w:val="00184EDC"/>
    <w:rsid w:val="00194770"/>
    <w:rsid w:val="001A5F9B"/>
    <w:rsid w:val="001D17AA"/>
    <w:rsid w:val="001D54CB"/>
    <w:rsid w:val="001F7237"/>
    <w:rsid w:val="00224436"/>
    <w:rsid w:val="00261F51"/>
    <w:rsid w:val="00265DAA"/>
    <w:rsid w:val="002779E3"/>
    <w:rsid w:val="0028225B"/>
    <w:rsid w:val="002924CB"/>
    <w:rsid w:val="002A20D1"/>
    <w:rsid w:val="002B372F"/>
    <w:rsid w:val="002B5955"/>
    <w:rsid w:val="002F52C1"/>
    <w:rsid w:val="00341F1E"/>
    <w:rsid w:val="00346502"/>
    <w:rsid w:val="003769DC"/>
    <w:rsid w:val="00380937"/>
    <w:rsid w:val="00390559"/>
    <w:rsid w:val="003D7B0B"/>
    <w:rsid w:val="004047CC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1087F"/>
    <w:rsid w:val="005434DD"/>
    <w:rsid w:val="00553F21"/>
    <w:rsid w:val="0059239F"/>
    <w:rsid w:val="00596DF0"/>
    <w:rsid w:val="005A0A9D"/>
    <w:rsid w:val="005A56AA"/>
    <w:rsid w:val="005C0803"/>
    <w:rsid w:val="005D43F2"/>
    <w:rsid w:val="005D6222"/>
    <w:rsid w:val="005E103A"/>
    <w:rsid w:val="005E19C6"/>
    <w:rsid w:val="005F5B3D"/>
    <w:rsid w:val="00606F80"/>
    <w:rsid w:val="0065383D"/>
    <w:rsid w:val="00662565"/>
    <w:rsid w:val="0067174E"/>
    <w:rsid w:val="00695F7A"/>
    <w:rsid w:val="006A7700"/>
    <w:rsid w:val="006B3EC8"/>
    <w:rsid w:val="006B6D50"/>
    <w:rsid w:val="006E0575"/>
    <w:rsid w:val="006E6F3E"/>
    <w:rsid w:val="00723D82"/>
    <w:rsid w:val="00750A86"/>
    <w:rsid w:val="00754659"/>
    <w:rsid w:val="00776116"/>
    <w:rsid w:val="00786408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A0DAF"/>
    <w:rsid w:val="008A6853"/>
    <w:rsid w:val="008B3F45"/>
    <w:rsid w:val="00906404"/>
    <w:rsid w:val="009417E7"/>
    <w:rsid w:val="00976588"/>
    <w:rsid w:val="00977100"/>
    <w:rsid w:val="00990DDA"/>
    <w:rsid w:val="00A03582"/>
    <w:rsid w:val="00A27CA7"/>
    <w:rsid w:val="00A53D72"/>
    <w:rsid w:val="00A71D0A"/>
    <w:rsid w:val="00A77F1E"/>
    <w:rsid w:val="00AC041D"/>
    <w:rsid w:val="00AD05FA"/>
    <w:rsid w:val="00AD48F5"/>
    <w:rsid w:val="00AE046D"/>
    <w:rsid w:val="00AE3D20"/>
    <w:rsid w:val="00B04290"/>
    <w:rsid w:val="00B10E22"/>
    <w:rsid w:val="00B11187"/>
    <w:rsid w:val="00B43A9B"/>
    <w:rsid w:val="00B8031F"/>
    <w:rsid w:val="00B80DEF"/>
    <w:rsid w:val="00BB3429"/>
    <w:rsid w:val="00BC4669"/>
    <w:rsid w:val="00BF2B95"/>
    <w:rsid w:val="00C16EF1"/>
    <w:rsid w:val="00C448D3"/>
    <w:rsid w:val="00C5238B"/>
    <w:rsid w:val="00C76F3D"/>
    <w:rsid w:val="00CD7322"/>
    <w:rsid w:val="00CF0309"/>
    <w:rsid w:val="00D00514"/>
    <w:rsid w:val="00D461B9"/>
    <w:rsid w:val="00D541F0"/>
    <w:rsid w:val="00D96564"/>
    <w:rsid w:val="00DB3D6C"/>
    <w:rsid w:val="00DB5BCF"/>
    <w:rsid w:val="00E014B6"/>
    <w:rsid w:val="00E1162F"/>
    <w:rsid w:val="00E11D5F"/>
    <w:rsid w:val="00E20E1F"/>
    <w:rsid w:val="00E354F2"/>
    <w:rsid w:val="00E55030"/>
    <w:rsid w:val="00E7118F"/>
    <w:rsid w:val="00F214E0"/>
    <w:rsid w:val="00F27657"/>
    <w:rsid w:val="00F33301"/>
    <w:rsid w:val="00F342DC"/>
    <w:rsid w:val="00F63041"/>
    <w:rsid w:val="00F76452"/>
    <w:rsid w:val="00F902CF"/>
    <w:rsid w:val="00FB0D10"/>
    <w:rsid w:val="00FB2A0E"/>
    <w:rsid w:val="00FC1BCB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64449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  <w:style w:type="character" w:customStyle="1" w:styleId="CharacterStyle1">
    <w:name w:val="Character Style 1"/>
    <w:rsid w:val="00FB0D1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6AF152FE.dotm</Template>
  <TotalTime>0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9</cp:revision>
  <cp:lastPrinted>2018-11-06T13:28:00Z</cp:lastPrinted>
  <dcterms:created xsi:type="dcterms:W3CDTF">2018-11-06T07:43:00Z</dcterms:created>
  <dcterms:modified xsi:type="dcterms:W3CDTF">2018-11-06T13:28:00Z</dcterms:modified>
</cp:coreProperties>
</file>