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E54C9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E54C9">
        <w:rPr>
          <w:szCs w:val="24"/>
        </w:rPr>
        <w:t>796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754C63" w:rsidRDefault="00CB2F78" w:rsidP="00D15184">
      <w:pPr>
        <w:pStyle w:val="berschrift1"/>
        <w:tabs>
          <w:tab w:val="clear" w:pos="6521"/>
        </w:tabs>
      </w:pPr>
      <w:r>
        <w:t xml:space="preserve">Verlängerung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</w:p>
    <w:p w:rsidR="003D7B0B" w:rsidRPr="00796600" w:rsidRDefault="003D7B0B" w:rsidP="00D15184">
      <w:pPr>
        <w:pStyle w:val="berschrift1"/>
        <w:tabs>
          <w:tab w:val="clear" w:pos="6521"/>
        </w:tabs>
      </w:pPr>
      <w:r w:rsidRPr="00796600">
        <w:t xml:space="preserve"> </w:t>
      </w:r>
      <w:r w:rsidR="00A34898" w:rsidRPr="00796600">
        <w:br/>
      </w:r>
      <w:r w:rsidR="007B5FE2" w:rsidRPr="003A7A41">
        <w:t>zum</w:t>
      </w:r>
      <w:r w:rsidRPr="003A7A41">
        <w:t xml:space="preserve"> Stellenplan 20</w:t>
      </w:r>
      <w:r w:rsidR="00D31547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CB2F78" w:rsidRPr="006E0575" w:rsidRDefault="00CB2F78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107F64" w:rsidP="002812E4">
            <w:pPr>
              <w:rPr>
                <w:sz w:val="20"/>
              </w:rPr>
            </w:pPr>
            <w:r>
              <w:rPr>
                <w:sz w:val="20"/>
              </w:rPr>
              <w:t>230 3033 080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3869CA" w:rsidP="00746A71">
            <w:pPr>
              <w:rPr>
                <w:sz w:val="20"/>
              </w:rPr>
            </w:pPr>
            <w:r>
              <w:rPr>
                <w:sz w:val="20"/>
              </w:rPr>
              <w:t>23306030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3869CA" w:rsidP="002812E4">
            <w:pPr>
              <w:rPr>
                <w:sz w:val="20"/>
              </w:rPr>
            </w:pPr>
            <w:r>
              <w:rPr>
                <w:sz w:val="20"/>
              </w:rPr>
              <w:t>Amt für Liege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schaften und Wohnen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3869C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3869CA" w:rsidP="002812E4">
            <w:pPr>
              <w:rPr>
                <w:sz w:val="20"/>
              </w:rPr>
            </w:pPr>
            <w:r>
              <w:rPr>
                <w:sz w:val="20"/>
              </w:rPr>
              <w:t>Sachbearbeiter-/in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3869CA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7F64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891246" w:rsidRPr="00107F64" w:rsidRDefault="00107F64" w:rsidP="00F27BB8">
            <w:pPr>
              <w:jc w:val="center"/>
              <w:rPr>
                <w:b/>
                <w:sz w:val="20"/>
              </w:rPr>
            </w:pPr>
            <w:r w:rsidRPr="00107F64">
              <w:rPr>
                <w:b/>
                <w:sz w:val="20"/>
              </w:rPr>
              <w:t>bisher</w:t>
            </w:r>
          </w:p>
          <w:p w:rsidR="00107F64" w:rsidRDefault="00107F64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Default="003869C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107F6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7F64">
              <w:rPr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:rsidR="00CB2F78" w:rsidRDefault="00CB2F78" w:rsidP="00F27BB8">
            <w:pPr>
              <w:jc w:val="center"/>
              <w:rPr>
                <w:sz w:val="20"/>
              </w:rPr>
            </w:pPr>
          </w:p>
          <w:p w:rsidR="00107F64" w:rsidRPr="00107F64" w:rsidRDefault="00107F64" w:rsidP="00F27BB8">
            <w:pPr>
              <w:jc w:val="center"/>
              <w:rPr>
                <w:b/>
                <w:sz w:val="20"/>
              </w:rPr>
            </w:pPr>
            <w:r w:rsidRPr="00107F64">
              <w:rPr>
                <w:b/>
                <w:sz w:val="20"/>
              </w:rPr>
              <w:t>neu</w:t>
            </w:r>
          </w:p>
          <w:p w:rsidR="00107F64" w:rsidRDefault="00107F64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CB2F78" w:rsidRPr="006E0575" w:rsidRDefault="00CB2F78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107F6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7F64">
              <w:rPr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107F64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</w:p>
    <w:p w:rsidR="003D7B0B" w:rsidRDefault="003D7B0B" w:rsidP="00694161"/>
    <w:p w:rsidR="00107F64" w:rsidRDefault="00BE54C9" w:rsidP="003869CA">
      <w:r>
        <w:t>Zum Stellenplan 2012 (</w:t>
      </w:r>
      <w:proofErr w:type="spellStart"/>
      <w:r>
        <w:t>GRDrs</w:t>
      </w:r>
      <w:proofErr w:type="spellEnd"/>
      <w:r>
        <w:t xml:space="preserve"> 769</w:t>
      </w:r>
      <w:r w:rsidR="00107F64">
        <w:t>/2011, Anlage 3) wurde diese Planstelle befristet g</w:t>
      </w:r>
      <w:r w:rsidR="00107F64">
        <w:t>e</w:t>
      </w:r>
      <w:r w:rsidR="00107F64">
        <w:t>schaffen zur Zusammenfassung und anschließenden Ausschreibung von Wartungsve</w:t>
      </w:r>
      <w:r w:rsidR="00107F64">
        <w:t>r</w:t>
      </w:r>
      <w:r w:rsidR="00107F64">
        <w:t xml:space="preserve">trägen. Mit der Stellenschaffung wurde der Haushaltsansatz für Wartungen um 75.000€ </w:t>
      </w:r>
      <w:r>
        <w:t xml:space="preserve">pro </w:t>
      </w:r>
      <w:r w:rsidR="00107F64">
        <w:t xml:space="preserve">Jahr reduziert. </w:t>
      </w:r>
    </w:p>
    <w:p w:rsidR="00107F64" w:rsidRDefault="00107F64" w:rsidP="003869CA"/>
    <w:p w:rsidR="00020580" w:rsidRDefault="00020580" w:rsidP="003869CA"/>
    <w:p w:rsidR="00107F64" w:rsidRPr="00150F7B" w:rsidRDefault="00107F64" w:rsidP="00107F64">
      <w:pPr>
        <w:rPr>
          <w:rFonts w:cs="Arial"/>
          <w:color w:val="000000"/>
        </w:rPr>
      </w:pPr>
      <w:r w:rsidRPr="00150F7B">
        <w:t>Das Aufgabengebiet umfasst insbesondere:</w:t>
      </w:r>
      <w:r w:rsidRPr="00150F7B">
        <w:br/>
      </w:r>
    </w:p>
    <w:p w:rsidR="00107F64" w:rsidRPr="003A2AD1" w:rsidRDefault="00107F64" w:rsidP="00107F6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 w:rsidRPr="003A2AD1">
        <w:rPr>
          <w:rFonts w:cs="Arial"/>
          <w:color w:val="000000"/>
        </w:rPr>
        <w:t>Bedarfsfeststellung und Vergabe sämtlicher Wartungsverträge von technischen</w:t>
      </w:r>
      <w:r w:rsidR="00BE54C9">
        <w:rPr>
          <w:rFonts w:cs="Arial"/>
          <w:color w:val="000000"/>
        </w:rPr>
        <w:t xml:space="preserve"> </w:t>
      </w:r>
      <w:r w:rsidR="00BE54C9">
        <w:rPr>
          <w:rFonts w:cs="Arial"/>
          <w:color w:val="000000"/>
        </w:rPr>
        <w:br/>
      </w:r>
      <w:r w:rsidRPr="003A2AD1">
        <w:rPr>
          <w:rFonts w:cs="Arial"/>
          <w:color w:val="000000"/>
        </w:rPr>
        <w:t>Anlagen</w:t>
      </w:r>
    </w:p>
    <w:p w:rsidR="00107F64" w:rsidRPr="003A2AD1" w:rsidRDefault="00107F64" w:rsidP="00107F6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 w:rsidRPr="003A2AD1">
        <w:rPr>
          <w:rFonts w:cs="Arial"/>
          <w:color w:val="000000"/>
        </w:rPr>
        <w:t>Fachliche Überprüfung der Ausschreibungsunterlagen und sämtlicher Leistungsve</w:t>
      </w:r>
      <w:r w:rsidRPr="003A2AD1">
        <w:rPr>
          <w:rFonts w:cs="Arial"/>
          <w:color w:val="000000"/>
        </w:rPr>
        <w:t>r</w:t>
      </w:r>
      <w:r w:rsidRPr="003A2AD1">
        <w:rPr>
          <w:rFonts w:cs="Arial"/>
          <w:color w:val="000000"/>
        </w:rPr>
        <w:t>zeichnisse, Hinterlegung von Formeln und Plausibilitätsprüfung</w:t>
      </w:r>
      <w:r w:rsidR="00020580">
        <w:rPr>
          <w:rFonts w:cs="Arial"/>
          <w:color w:val="000000"/>
        </w:rPr>
        <w:t>,</w:t>
      </w:r>
      <w:r w:rsidRPr="003A2AD1">
        <w:rPr>
          <w:rFonts w:cs="Arial"/>
          <w:color w:val="000000"/>
        </w:rPr>
        <w:t xml:space="preserve"> Fertigstellung der Ausschreibungsunterlagen</w:t>
      </w:r>
      <w:r w:rsidR="00020580">
        <w:rPr>
          <w:rFonts w:cs="Arial"/>
          <w:color w:val="000000"/>
        </w:rPr>
        <w:t>,</w:t>
      </w:r>
      <w:r w:rsidRPr="003A2AD1">
        <w:rPr>
          <w:rFonts w:cs="Arial"/>
          <w:color w:val="000000"/>
        </w:rPr>
        <w:t xml:space="preserve"> Durchführung </w:t>
      </w:r>
      <w:r w:rsidR="00020580">
        <w:rPr>
          <w:rFonts w:cs="Arial"/>
          <w:color w:val="000000"/>
        </w:rPr>
        <w:t xml:space="preserve">von Objektbegehungen mit Firmen, </w:t>
      </w:r>
      <w:r w:rsidRPr="003A2AD1">
        <w:rPr>
          <w:rFonts w:cs="Arial"/>
          <w:color w:val="000000"/>
        </w:rPr>
        <w:t>Pr</w:t>
      </w:r>
      <w:r w:rsidRPr="003A2AD1">
        <w:rPr>
          <w:rFonts w:cs="Arial"/>
          <w:color w:val="000000"/>
        </w:rPr>
        <w:t>ü</w:t>
      </w:r>
      <w:r w:rsidRPr="003A2AD1">
        <w:rPr>
          <w:rFonts w:cs="Arial"/>
          <w:color w:val="000000"/>
        </w:rPr>
        <w:t>fen und Auswerten der eingegangenen Angebote</w:t>
      </w:r>
      <w:r w:rsidR="00020580">
        <w:rPr>
          <w:rFonts w:cs="Arial"/>
          <w:color w:val="000000"/>
        </w:rPr>
        <w:t>,</w:t>
      </w:r>
      <w:r w:rsidRPr="003A2AD1">
        <w:rPr>
          <w:rFonts w:cs="Arial"/>
          <w:color w:val="000000"/>
        </w:rPr>
        <w:t xml:space="preserve"> Abfrage der Referenzen</w:t>
      </w:r>
      <w:r w:rsidR="00020580">
        <w:rPr>
          <w:rFonts w:cs="Arial"/>
          <w:color w:val="000000"/>
        </w:rPr>
        <w:t>,</w:t>
      </w:r>
      <w:r w:rsidRPr="003A2AD1">
        <w:rPr>
          <w:rFonts w:cs="Arial"/>
          <w:color w:val="000000"/>
        </w:rPr>
        <w:t xml:space="preserve"> Z</w:t>
      </w:r>
      <w:r w:rsidRPr="003A2AD1">
        <w:rPr>
          <w:rFonts w:cs="Arial"/>
          <w:color w:val="000000"/>
        </w:rPr>
        <w:t>u</w:t>
      </w:r>
      <w:r w:rsidRPr="003A2AD1">
        <w:rPr>
          <w:rFonts w:cs="Arial"/>
          <w:color w:val="000000"/>
        </w:rPr>
        <w:t>schlagsfindung</w:t>
      </w:r>
      <w:r w:rsidR="00020580">
        <w:rPr>
          <w:rFonts w:cs="Arial"/>
          <w:color w:val="000000"/>
        </w:rPr>
        <w:t>,</w:t>
      </w:r>
      <w:r w:rsidRPr="003A2AD1">
        <w:rPr>
          <w:rFonts w:cs="Arial"/>
          <w:color w:val="000000"/>
        </w:rPr>
        <w:t xml:space="preserve"> Dokumentation / Vergabeniederschrift, Absagebriefe, Zuschlagsmi</w:t>
      </w:r>
      <w:r w:rsidRPr="003A2AD1">
        <w:rPr>
          <w:rFonts w:cs="Arial"/>
          <w:color w:val="000000"/>
        </w:rPr>
        <w:t>t</w:t>
      </w:r>
      <w:r w:rsidRPr="003A2AD1">
        <w:rPr>
          <w:rFonts w:cs="Arial"/>
          <w:color w:val="000000"/>
        </w:rPr>
        <w:t>teilung</w:t>
      </w:r>
      <w:r w:rsidR="00020580">
        <w:rPr>
          <w:rFonts w:cs="Arial"/>
          <w:color w:val="000000"/>
        </w:rPr>
        <w:t>.</w:t>
      </w:r>
    </w:p>
    <w:p w:rsidR="00107F64" w:rsidRPr="003A2AD1" w:rsidRDefault="00107F64" w:rsidP="00107F6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  <w:rPr>
          <w:rFonts w:cs="Arial"/>
          <w:color w:val="000000"/>
        </w:rPr>
      </w:pPr>
      <w:r w:rsidRPr="003A2AD1">
        <w:rPr>
          <w:rFonts w:cs="Arial"/>
          <w:color w:val="000000"/>
        </w:rPr>
        <w:t>Verwaltung der abgeschlossenen Verträge</w:t>
      </w:r>
    </w:p>
    <w:p w:rsidR="00107F64" w:rsidRPr="003869CA" w:rsidRDefault="00107F64" w:rsidP="00107F6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</w:pPr>
      <w:r w:rsidRPr="003869CA">
        <w:rPr>
          <w:rFonts w:cs="Arial"/>
          <w:color w:val="000000"/>
        </w:rPr>
        <w:t>Qualitäts- und Reklamationsmanagement</w:t>
      </w:r>
    </w:p>
    <w:p w:rsidR="00107F64" w:rsidRPr="003869CA" w:rsidRDefault="00107F64" w:rsidP="00107F64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left="360"/>
      </w:pPr>
      <w:r w:rsidRPr="003869CA">
        <w:rPr>
          <w:rFonts w:cs="Arial"/>
          <w:color w:val="000000"/>
        </w:rPr>
        <w:t>Rechnungsbearbeitung</w:t>
      </w:r>
    </w:p>
    <w:p w:rsidR="00107F64" w:rsidRDefault="00107F64" w:rsidP="00107F64">
      <w:pPr>
        <w:rPr>
          <w:rFonts w:cs="Arial"/>
        </w:rPr>
      </w:pPr>
    </w:p>
    <w:p w:rsidR="00107F64" w:rsidRDefault="00107F64" w:rsidP="00107F64">
      <w:pPr>
        <w:rPr>
          <w:rFonts w:cs="Arial"/>
        </w:rPr>
      </w:pPr>
      <w:r>
        <w:rPr>
          <w:rFonts w:cs="Arial"/>
        </w:rPr>
        <w:t xml:space="preserve">Bisher </w:t>
      </w:r>
      <w:r w:rsidR="00073749">
        <w:rPr>
          <w:rFonts w:cs="Arial"/>
        </w:rPr>
        <w:t>wurde</w:t>
      </w:r>
      <w:r>
        <w:rPr>
          <w:rFonts w:cs="Arial"/>
        </w:rPr>
        <w:t xml:space="preserve"> </w:t>
      </w:r>
      <w:r w:rsidR="00073749">
        <w:rPr>
          <w:rFonts w:cs="Arial"/>
        </w:rPr>
        <w:t>knapp über</w:t>
      </w:r>
      <w:r>
        <w:rPr>
          <w:rFonts w:cs="Arial"/>
        </w:rPr>
        <w:t xml:space="preserve"> die Hälfte</w:t>
      </w:r>
      <w:r w:rsidR="00073749">
        <w:rPr>
          <w:rFonts w:cs="Arial"/>
        </w:rPr>
        <w:t xml:space="preserve"> (1.800)</w:t>
      </w:r>
      <w:r>
        <w:rPr>
          <w:rFonts w:cs="Arial"/>
        </w:rPr>
        <w:t xml:space="preserve"> der insgesamt rd. 3.500 bestehenden Ve</w:t>
      </w:r>
      <w:r>
        <w:rPr>
          <w:rFonts w:cs="Arial"/>
        </w:rPr>
        <w:t>r</w:t>
      </w:r>
      <w:r>
        <w:rPr>
          <w:rFonts w:cs="Arial"/>
        </w:rPr>
        <w:t>träge geprüft und neu ausgeschrieben.</w:t>
      </w:r>
    </w:p>
    <w:p w:rsidR="00020580" w:rsidRDefault="00020580" w:rsidP="00107F64">
      <w:pPr>
        <w:rPr>
          <w:rFonts w:cs="Arial"/>
        </w:rPr>
      </w:pPr>
    </w:p>
    <w:p w:rsidR="00754C63" w:rsidRDefault="00754C63" w:rsidP="00020580"/>
    <w:p w:rsidR="00754C63" w:rsidRDefault="00754C63" w:rsidP="00020580"/>
    <w:p w:rsidR="00754C63" w:rsidRDefault="00754C63" w:rsidP="00020580"/>
    <w:p w:rsidR="00754C63" w:rsidRDefault="00754C63" w:rsidP="00020580">
      <w:r>
        <w:lastRenderedPageBreak/>
        <w:t xml:space="preserve">Auf der Grundlage der </w:t>
      </w:r>
      <w:r w:rsidR="00020580">
        <w:t>bisher erzielten Einsparerfolge bei ausgewählten Vertragsarten refinanzieren sich die Personalkosten bei einer systematischen und gebündelten Ne</w:t>
      </w:r>
      <w:r w:rsidR="00020580">
        <w:t>u</w:t>
      </w:r>
      <w:r w:rsidR="00020580">
        <w:t xml:space="preserve">ausschreibung. So wurde mit der </w:t>
      </w:r>
      <w:proofErr w:type="spellStart"/>
      <w:r w:rsidR="00020580">
        <w:t>EnBW</w:t>
      </w:r>
      <w:proofErr w:type="spellEnd"/>
      <w:r w:rsidR="00020580">
        <w:t xml:space="preserve"> das Leistungsprofil eines Sammelvertrages für die Wartung von Brandmeldeanlagen neu festgelegt. Hierdurch konnte bei </w:t>
      </w:r>
    </w:p>
    <w:p w:rsidR="00754C63" w:rsidRDefault="00754C63" w:rsidP="00020580"/>
    <w:p w:rsidR="00754C63" w:rsidRDefault="00020580" w:rsidP="00754C63">
      <w:pPr>
        <w:pStyle w:val="Listenabsatz"/>
        <w:numPr>
          <w:ilvl w:val="0"/>
          <w:numId w:val="7"/>
        </w:numPr>
      </w:pPr>
      <w:r>
        <w:t>den Objekten, die schon zu Jahresbeginn 2013 in einem Vertrag zusammeng</w:t>
      </w:r>
      <w:r>
        <w:t>e</w:t>
      </w:r>
      <w:r>
        <w:t xml:space="preserve">fasst waren, eine Ersparnis von ca. </w:t>
      </w:r>
      <w:r w:rsidRPr="008F5815">
        <w:t>28 %</w:t>
      </w:r>
      <w:r>
        <w:t xml:space="preserve"> realisiert werden, was einen Betrag von etwa 15.000 € jährlich ausmacht. </w:t>
      </w:r>
    </w:p>
    <w:p w:rsidR="00754C63" w:rsidRDefault="00754C63" w:rsidP="00754C63">
      <w:pPr>
        <w:pStyle w:val="Listenabsatz"/>
      </w:pPr>
    </w:p>
    <w:p w:rsidR="00020580" w:rsidRDefault="00020580" w:rsidP="00754C63">
      <w:pPr>
        <w:pStyle w:val="Listenabsatz"/>
        <w:numPr>
          <w:ilvl w:val="0"/>
          <w:numId w:val="7"/>
        </w:numPr>
      </w:pPr>
      <w:r>
        <w:t>den Aufzugsanlagen durch Bündelung der Verträge bei bislang 82 Anlagen eine jährliche Ersparnis von rd. 78.000 € erzielt werden. In einer nächsten Tranche sollen 100 weitere Anlagen ausgeschrieben werden, wo</w:t>
      </w:r>
      <w:r w:rsidR="004960E4">
        <w:t>durch</w:t>
      </w:r>
      <w:r>
        <w:t xml:space="preserve"> ein Einsparvol</w:t>
      </w:r>
      <w:r>
        <w:t>u</w:t>
      </w:r>
      <w:r>
        <w:t>men in ähnlicher Größenordnung erwartet wird.</w:t>
      </w:r>
    </w:p>
    <w:p w:rsidR="00020580" w:rsidRDefault="00020580" w:rsidP="00107F64">
      <w:pPr>
        <w:rPr>
          <w:rFonts w:cs="Arial"/>
        </w:rPr>
      </w:pPr>
    </w:p>
    <w:p w:rsidR="00754C63" w:rsidRDefault="00754C63" w:rsidP="003869CA"/>
    <w:p w:rsidR="003869CA" w:rsidRDefault="003869CA" w:rsidP="003869CA">
      <w:r>
        <w:t xml:space="preserve">Der Stadt obliegt die </w:t>
      </w:r>
      <w:proofErr w:type="spellStart"/>
      <w:r>
        <w:t>Betreiberverantwortung</w:t>
      </w:r>
      <w:proofErr w:type="spellEnd"/>
      <w:r>
        <w:t xml:space="preserve"> für einen ordnungsgemäßen Betrieb der Immobilien. Zwischenzeitlich hat der Sicherheitsingenieur</w:t>
      </w:r>
      <w:r w:rsidR="00020580">
        <w:t xml:space="preserve"> beim Amt für Liegenschaften und Wohnen </w:t>
      </w:r>
      <w:r w:rsidR="00CA2D41">
        <w:t xml:space="preserve">seine Tätigkeit aufgenommen </w:t>
      </w:r>
      <w:r w:rsidR="00020580">
        <w:t>(Stellenschaffung zum Stellenpl</w:t>
      </w:r>
      <w:r w:rsidR="009D72AC">
        <w:t xml:space="preserve">an 2014, vgl. </w:t>
      </w:r>
      <w:proofErr w:type="spellStart"/>
      <w:r w:rsidR="009D72AC">
        <w:t>GRDrs</w:t>
      </w:r>
      <w:proofErr w:type="spellEnd"/>
      <w:r w:rsidR="009D72AC">
        <w:t xml:space="preserve"> 858/2013 Ergänzung, </w:t>
      </w:r>
      <w:r w:rsidR="00CA2D41">
        <w:t>Anlage 15)</w:t>
      </w:r>
      <w:r>
        <w:t xml:space="preserve">. Zu </w:t>
      </w:r>
      <w:r w:rsidR="00020580">
        <w:t>seinen</w:t>
      </w:r>
      <w:r>
        <w:t xml:space="preserve"> Hauptaufgaben </w:t>
      </w:r>
      <w:r w:rsidR="00020580">
        <w:t>gehört</w:t>
      </w:r>
      <w:r>
        <w:t xml:space="preserve"> die E</w:t>
      </w:r>
      <w:r>
        <w:t>r</w:t>
      </w:r>
      <w:r>
        <w:t>stellung eines Wartungs- und Inspektionskonzepts für die über 700 städtischen Immob</w:t>
      </w:r>
      <w:r>
        <w:t>i</w:t>
      </w:r>
      <w:r>
        <w:t>lien</w:t>
      </w:r>
      <w:r w:rsidR="00073749">
        <w:t xml:space="preserve"> s</w:t>
      </w:r>
      <w:r>
        <w:t>owie – teilweise – für die rd. 360 Anmietobjekte. Erste Stichproben in den Gebä</w:t>
      </w:r>
      <w:r>
        <w:t>u</w:t>
      </w:r>
      <w:r>
        <w:t>den haben ergeben, dass nach einer vollumfänglichen Bestandsaufnahme der techn</w:t>
      </w:r>
      <w:r>
        <w:t>i</w:t>
      </w:r>
      <w:r>
        <w:t>schen Anlagen der Abschluss einer Vielzahl an neuen Wartungs- und Inspektionsve</w:t>
      </w:r>
      <w:r>
        <w:t>r</w:t>
      </w:r>
      <w:r>
        <w:t xml:space="preserve">trägen notwendig ist, um die Aufgaben der </w:t>
      </w:r>
      <w:proofErr w:type="spellStart"/>
      <w:r>
        <w:t>Betreiberverantwortung</w:t>
      </w:r>
      <w:proofErr w:type="spellEnd"/>
      <w:r>
        <w:t xml:space="preserve"> ordnungsgemäß wahrzunehmen.</w:t>
      </w:r>
    </w:p>
    <w:p w:rsidR="003869CA" w:rsidRDefault="003869CA" w:rsidP="003869CA">
      <w:pPr>
        <w:autoSpaceDE w:val="0"/>
        <w:autoSpaceDN w:val="0"/>
        <w:adjustRightInd w:val="0"/>
        <w:spacing w:line="240" w:lineRule="atLeast"/>
      </w:pPr>
    </w:p>
    <w:p w:rsidR="003869CA" w:rsidRDefault="00570B25" w:rsidP="003869CA">
      <w:pPr>
        <w:autoSpaceDE w:val="0"/>
        <w:autoSpaceDN w:val="0"/>
        <w:adjustRightInd w:val="0"/>
        <w:spacing w:line="240" w:lineRule="atLeast"/>
      </w:pPr>
      <w:r>
        <w:rPr>
          <w:noProof/>
        </w:rPr>
        <w:t xml:space="preserve">Der Haushaltsansatz für Wartung </w:t>
      </w:r>
      <w:r w:rsidR="000D1449">
        <w:rPr>
          <w:noProof/>
        </w:rPr>
        <w:t>wird</w:t>
      </w:r>
      <w:r>
        <w:rPr>
          <w:noProof/>
        </w:rPr>
        <w:t xml:space="preserve"> für die Dauer der Verlängerung des KW-Vermerks </w:t>
      </w:r>
      <w:r w:rsidR="00BE54C9">
        <w:rPr>
          <w:noProof/>
        </w:rPr>
        <w:t xml:space="preserve">weiterhin </w:t>
      </w:r>
      <w:r>
        <w:rPr>
          <w:noProof/>
        </w:rPr>
        <w:t>um 75.000 € / Jahr reduziert.</w:t>
      </w:r>
    </w:p>
    <w:sectPr w:rsidR="003869CA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41" w:rsidRDefault="00CA2D41">
      <w:r>
        <w:separator/>
      </w:r>
    </w:p>
  </w:endnote>
  <w:endnote w:type="continuationSeparator" w:id="0">
    <w:p w:rsidR="00CA2D41" w:rsidRDefault="00CA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41" w:rsidRDefault="00CA2D41">
      <w:r>
        <w:separator/>
      </w:r>
    </w:p>
  </w:footnote>
  <w:footnote w:type="continuationSeparator" w:id="0">
    <w:p w:rsidR="00CA2D41" w:rsidRDefault="00CA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41" w:rsidRDefault="00CA2D4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611D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611D8">
      <w:rPr>
        <w:rStyle w:val="Seitenzahl"/>
      </w:rPr>
      <w:fldChar w:fldCharType="separate"/>
    </w:r>
    <w:r w:rsidR="00451685">
      <w:rPr>
        <w:rStyle w:val="Seitenzahl"/>
        <w:noProof/>
      </w:rPr>
      <w:t>2</w:t>
    </w:r>
    <w:r w:rsidR="001611D8">
      <w:rPr>
        <w:rStyle w:val="Seitenzahl"/>
      </w:rPr>
      <w:fldChar w:fldCharType="end"/>
    </w:r>
    <w:r>
      <w:rPr>
        <w:rStyle w:val="Seitenzahl"/>
      </w:rPr>
      <w:t xml:space="preserve"> -</w:t>
    </w:r>
  </w:p>
  <w:p w:rsidR="00CA2D41" w:rsidRDefault="00CA2D4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EF47CD6"/>
    <w:multiLevelType w:val="hybridMultilevel"/>
    <w:tmpl w:val="C39CC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576B67E3"/>
    <w:multiLevelType w:val="hybridMultilevel"/>
    <w:tmpl w:val="8E107E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14675"/>
    <w:rsid w:val="00020580"/>
    <w:rsid w:val="00073749"/>
    <w:rsid w:val="000A1146"/>
    <w:rsid w:val="000D1449"/>
    <w:rsid w:val="001058DD"/>
    <w:rsid w:val="00107F64"/>
    <w:rsid w:val="00126A11"/>
    <w:rsid w:val="001611D8"/>
    <w:rsid w:val="00165C0D"/>
    <w:rsid w:val="00181857"/>
    <w:rsid w:val="001F5D9F"/>
    <w:rsid w:val="002058C2"/>
    <w:rsid w:val="00213C7A"/>
    <w:rsid w:val="00251260"/>
    <w:rsid w:val="002812E4"/>
    <w:rsid w:val="002924CB"/>
    <w:rsid w:val="002A664A"/>
    <w:rsid w:val="002B6783"/>
    <w:rsid w:val="002C2BCF"/>
    <w:rsid w:val="003237BB"/>
    <w:rsid w:val="003869CA"/>
    <w:rsid w:val="003A7A41"/>
    <w:rsid w:val="003D5196"/>
    <w:rsid w:val="003D7B0B"/>
    <w:rsid w:val="00406723"/>
    <w:rsid w:val="00451685"/>
    <w:rsid w:val="004920E9"/>
    <w:rsid w:val="004960E4"/>
    <w:rsid w:val="004B6796"/>
    <w:rsid w:val="004C6E48"/>
    <w:rsid w:val="004D7F89"/>
    <w:rsid w:val="00537E08"/>
    <w:rsid w:val="00570B25"/>
    <w:rsid w:val="005778E9"/>
    <w:rsid w:val="005E7511"/>
    <w:rsid w:val="005E7A74"/>
    <w:rsid w:val="0060281A"/>
    <w:rsid w:val="00694161"/>
    <w:rsid w:val="006964D6"/>
    <w:rsid w:val="006C1AC2"/>
    <w:rsid w:val="006E0575"/>
    <w:rsid w:val="00701699"/>
    <w:rsid w:val="00746A71"/>
    <w:rsid w:val="00754C63"/>
    <w:rsid w:val="00767369"/>
    <w:rsid w:val="00796600"/>
    <w:rsid w:val="007B5FE2"/>
    <w:rsid w:val="0083052F"/>
    <w:rsid w:val="00840569"/>
    <w:rsid w:val="008478D1"/>
    <w:rsid w:val="00884D6C"/>
    <w:rsid w:val="00891246"/>
    <w:rsid w:val="00893E55"/>
    <w:rsid w:val="008A1899"/>
    <w:rsid w:val="008A4CE3"/>
    <w:rsid w:val="00931860"/>
    <w:rsid w:val="00995EBD"/>
    <w:rsid w:val="009B0FBE"/>
    <w:rsid w:val="009C05B5"/>
    <w:rsid w:val="009D72AC"/>
    <w:rsid w:val="00A206E5"/>
    <w:rsid w:val="00A34898"/>
    <w:rsid w:val="00A77F1E"/>
    <w:rsid w:val="00B04290"/>
    <w:rsid w:val="00B238D8"/>
    <w:rsid w:val="00B80DEF"/>
    <w:rsid w:val="00BE54C9"/>
    <w:rsid w:val="00BF098F"/>
    <w:rsid w:val="00C42332"/>
    <w:rsid w:val="00C448D3"/>
    <w:rsid w:val="00CA2D41"/>
    <w:rsid w:val="00CB2F78"/>
    <w:rsid w:val="00CD0B27"/>
    <w:rsid w:val="00CE7D5B"/>
    <w:rsid w:val="00D15184"/>
    <w:rsid w:val="00D24277"/>
    <w:rsid w:val="00D31261"/>
    <w:rsid w:val="00D31547"/>
    <w:rsid w:val="00D544BF"/>
    <w:rsid w:val="00DA24CD"/>
    <w:rsid w:val="00DA701E"/>
    <w:rsid w:val="00DE32BA"/>
    <w:rsid w:val="00DF268B"/>
    <w:rsid w:val="00DF3470"/>
    <w:rsid w:val="00E1162F"/>
    <w:rsid w:val="00E11D5F"/>
    <w:rsid w:val="00E64242"/>
    <w:rsid w:val="00F00C79"/>
    <w:rsid w:val="00F132FA"/>
    <w:rsid w:val="00F27657"/>
    <w:rsid w:val="00F27BB8"/>
    <w:rsid w:val="00F9360F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5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9D0A5-BFE1-450D-87EB-C897D8F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12</cp:revision>
  <cp:lastPrinted>2015-09-23T13:15:00Z</cp:lastPrinted>
  <dcterms:created xsi:type="dcterms:W3CDTF">2015-05-20T08:24:00Z</dcterms:created>
  <dcterms:modified xsi:type="dcterms:W3CDTF">2015-09-23T13:15:00Z</dcterms:modified>
</cp:coreProperties>
</file>