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AA2B8A">
        <w:rPr>
          <w:szCs w:val="24"/>
        </w:rPr>
        <w:t>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AA2B8A">
        <w:rPr>
          <w:szCs w:val="24"/>
        </w:rPr>
        <w:t>796</w:t>
      </w:r>
      <w:r w:rsidR="00891246">
        <w:rPr>
          <w:szCs w:val="24"/>
        </w:rPr>
        <w:t>/201</w:t>
      </w:r>
      <w:r w:rsidR="0013761F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086AD2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7B5FE2" w:rsidRPr="00AA2B8A">
        <w:rPr>
          <w:b/>
          <w:sz w:val="36"/>
          <w:u w:val="single"/>
        </w:rPr>
        <w:t>zum</w:t>
      </w:r>
      <w:r w:rsidR="003D7B0B" w:rsidRPr="00AA2B8A">
        <w:rPr>
          <w:b/>
          <w:sz w:val="36"/>
          <w:u w:val="single"/>
        </w:rPr>
        <w:t xml:space="preserve"> Stellenplan 20</w:t>
      </w:r>
      <w:r w:rsidR="00086AD2" w:rsidRPr="00AA2B8A">
        <w:rPr>
          <w:b/>
          <w:sz w:val="36"/>
          <w:u w:val="single"/>
        </w:rPr>
        <w:t>1</w:t>
      </w:r>
      <w:r w:rsidR="0013761F" w:rsidRPr="00AA2B8A">
        <w:rPr>
          <w:b/>
          <w:sz w:val="36"/>
          <w:u w:val="single"/>
        </w:rPr>
        <w:t>6</w:t>
      </w:r>
    </w:p>
    <w:p w:rsidR="00086AD2" w:rsidRDefault="00086AD2" w:rsidP="00086AD2">
      <w:pPr>
        <w:tabs>
          <w:tab w:val="left" w:pos="6521"/>
        </w:tabs>
        <w:jc w:val="center"/>
      </w:pP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7B5FE2" w:rsidP="004D7F89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5FE2" w:rsidRDefault="007B5FE2" w:rsidP="004D7F89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4D7F89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891246" w:rsidP="002058C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9807EB" w:rsidP="002812E4">
            <w:pPr>
              <w:rPr>
                <w:sz w:val="20"/>
              </w:rPr>
            </w:pPr>
            <w:r>
              <w:rPr>
                <w:sz w:val="20"/>
              </w:rPr>
              <w:t>200.06</w:t>
            </w:r>
            <w:r w:rsidR="00086AD2">
              <w:rPr>
                <w:sz w:val="20"/>
              </w:rPr>
              <w:t>03.230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086AD2" w:rsidP="00746A71">
            <w:pPr>
              <w:rPr>
                <w:sz w:val="20"/>
              </w:rPr>
            </w:pPr>
            <w:r>
              <w:rPr>
                <w:sz w:val="20"/>
              </w:rPr>
              <w:t xml:space="preserve">20 60 </w:t>
            </w:r>
            <w:proofErr w:type="spellStart"/>
            <w:r>
              <w:rPr>
                <w:sz w:val="20"/>
              </w:rPr>
              <w:t>60</w:t>
            </w:r>
            <w:proofErr w:type="spellEnd"/>
            <w:r>
              <w:rPr>
                <w:sz w:val="20"/>
              </w:rPr>
              <w:t xml:space="preserve"> 65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086AD2" w:rsidP="002812E4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086AD2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8B626B" w:rsidP="008B62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VeranlagungsSB</w:t>
            </w:r>
            <w:proofErr w:type="spellEnd"/>
            <w:r>
              <w:rPr>
                <w:sz w:val="20"/>
              </w:rPr>
              <w:t xml:space="preserve">  (Zweitwohnung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</w:t>
            </w:r>
            <w:r w:rsidR="00086AD2">
              <w:rPr>
                <w:sz w:val="20"/>
              </w:rPr>
              <w:t>teuer)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Pr="006E0575" w:rsidRDefault="00086AD2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D1825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D14F24" w:rsidP="00137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  <w:r>
              <w:rPr>
                <w:sz w:val="20"/>
              </w:rPr>
              <w:br/>
            </w:r>
            <w:r w:rsidR="00086AD2">
              <w:rPr>
                <w:sz w:val="20"/>
              </w:rPr>
              <w:t>01/201</w:t>
            </w:r>
            <w:r w:rsidR="0013761F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AA2B8A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694161">
        <w:rPr>
          <w:b/>
        </w:rPr>
        <w:t>g</w:t>
      </w:r>
      <w:r w:rsidRPr="00694161">
        <w:rPr>
          <w:b/>
          <w:u w:val="single"/>
        </w:rPr>
        <w:t>:</w:t>
      </w:r>
    </w:p>
    <w:p w:rsidR="003D7B0B" w:rsidRPr="001C1576" w:rsidRDefault="003D7B0B" w:rsidP="00694161">
      <w:pPr>
        <w:rPr>
          <w:sz w:val="22"/>
          <w:szCs w:val="22"/>
        </w:rPr>
      </w:pPr>
    </w:p>
    <w:p w:rsidR="009C05D5" w:rsidRPr="001C1576" w:rsidRDefault="00EF5418" w:rsidP="00C637DB">
      <w:pPr>
        <w:tabs>
          <w:tab w:val="left" w:pos="1985"/>
          <w:tab w:val="left" w:pos="4536"/>
          <w:tab w:val="right" w:pos="8505"/>
        </w:tabs>
        <w:rPr>
          <w:sz w:val="22"/>
          <w:szCs w:val="22"/>
        </w:rPr>
      </w:pPr>
      <w:r w:rsidRPr="001C1576">
        <w:rPr>
          <w:sz w:val="22"/>
          <w:szCs w:val="22"/>
        </w:rPr>
        <w:t xml:space="preserve">Seit 1. Januar 2011 wird in Stuttgart eine Zweitwohnungssteuer erhoben. </w:t>
      </w:r>
      <w:r w:rsidR="00F701E1" w:rsidRPr="001C1576">
        <w:rPr>
          <w:sz w:val="22"/>
          <w:szCs w:val="22"/>
        </w:rPr>
        <w:t>Aufgrund des Sa</w:t>
      </w:r>
      <w:r w:rsidR="00F701E1" w:rsidRPr="001C1576">
        <w:rPr>
          <w:sz w:val="22"/>
          <w:szCs w:val="22"/>
        </w:rPr>
        <w:t>t</w:t>
      </w:r>
      <w:r w:rsidR="00F701E1" w:rsidRPr="001C1576">
        <w:rPr>
          <w:sz w:val="22"/>
          <w:szCs w:val="22"/>
        </w:rPr>
        <w:t>zungsbeschlusses vom 9. Dezember 2009 (</w:t>
      </w:r>
      <w:proofErr w:type="spellStart"/>
      <w:r w:rsidR="00F701E1" w:rsidRPr="001C1576">
        <w:rPr>
          <w:sz w:val="22"/>
          <w:szCs w:val="22"/>
        </w:rPr>
        <w:t>GRDrs</w:t>
      </w:r>
      <w:proofErr w:type="spellEnd"/>
      <w:r w:rsidR="00F701E1" w:rsidRPr="001C1576">
        <w:rPr>
          <w:sz w:val="22"/>
          <w:szCs w:val="22"/>
        </w:rPr>
        <w:t xml:space="preserve"> 934/2009) wurden zum Stellenplan 2010 zunächst 4 unbefristete Stellen</w:t>
      </w:r>
      <w:r w:rsidR="009807EB" w:rsidRPr="001C1576">
        <w:rPr>
          <w:sz w:val="22"/>
          <w:szCs w:val="22"/>
        </w:rPr>
        <w:t xml:space="preserve"> (A 11, A 10, 2 x EG 8)</w:t>
      </w:r>
      <w:r w:rsidR="00F701E1" w:rsidRPr="001C1576">
        <w:rPr>
          <w:sz w:val="22"/>
          <w:szCs w:val="22"/>
        </w:rPr>
        <w:t xml:space="preserve"> und </w:t>
      </w:r>
      <w:r w:rsidR="009807EB" w:rsidRPr="001C1576">
        <w:rPr>
          <w:sz w:val="22"/>
          <w:szCs w:val="22"/>
        </w:rPr>
        <w:t>zur Einführung weitere</w:t>
      </w:r>
      <w:r w:rsidR="00F701E1" w:rsidRPr="001C1576">
        <w:rPr>
          <w:sz w:val="22"/>
          <w:szCs w:val="22"/>
        </w:rPr>
        <w:t xml:space="preserve"> 4 Stellen b</w:t>
      </w:r>
      <w:r w:rsidR="00F701E1" w:rsidRPr="001C1576">
        <w:rPr>
          <w:sz w:val="22"/>
          <w:szCs w:val="22"/>
        </w:rPr>
        <w:t>e</w:t>
      </w:r>
      <w:r w:rsidR="00F701E1" w:rsidRPr="001C1576">
        <w:rPr>
          <w:sz w:val="22"/>
          <w:szCs w:val="22"/>
        </w:rPr>
        <w:t>fristet geschaf</w:t>
      </w:r>
      <w:r w:rsidR="009807EB" w:rsidRPr="001C1576">
        <w:rPr>
          <w:sz w:val="22"/>
          <w:szCs w:val="22"/>
        </w:rPr>
        <w:t>fen, teilweise mit späterer Verlängerung. Von den befristeten Stellen ist noch die Stelle Nr. 200.0603.230 bis 31.12.2015 übrig.</w:t>
      </w:r>
      <w:r w:rsidR="00AA2B8A">
        <w:rPr>
          <w:sz w:val="22"/>
          <w:szCs w:val="22"/>
        </w:rPr>
        <w:t xml:space="preserve"> Die anderen 3 Stellen wurden zwischenzeitlich gestrichen.</w:t>
      </w:r>
    </w:p>
    <w:p w:rsidR="009C05D5" w:rsidRPr="001C1576" w:rsidRDefault="009C05D5" w:rsidP="00C637DB">
      <w:pPr>
        <w:tabs>
          <w:tab w:val="left" w:pos="1985"/>
          <w:tab w:val="left" w:pos="4536"/>
          <w:tab w:val="right" w:pos="8505"/>
        </w:tabs>
        <w:rPr>
          <w:sz w:val="22"/>
          <w:szCs w:val="22"/>
        </w:rPr>
      </w:pPr>
    </w:p>
    <w:p w:rsidR="009C05D5" w:rsidRPr="001C1576" w:rsidRDefault="00084314" w:rsidP="00CC7F1C">
      <w:pPr>
        <w:tabs>
          <w:tab w:val="left" w:pos="1985"/>
          <w:tab w:val="left" w:pos="4536"/>
          <w:tab w:val="right" w:pos="8505"/>
        </w:tabs>
        <w:rPr>
          <w:sz w:val="22"/>
          <w:szCs w:val="22"/>
        </w:rPr>
      </w:pPr>
      <w:r w:rsidRPr="001C1576">
        <w:rPr>
          <w:sz w:val="22"/>
          <w:szCs w:val="22"/>
        </w:rPr>
        <w:t xml:space="preserve">Zum Zeitpunkt des Satzungsbeschlusses wurden </w:t>
      </w:r>
      <w:r w:rsidR="00CC7F1C" w:rsidRPr="001C1576">
        <w:rPr>
          <w:sz w:val="22"/>
          <w:szCs w:val="22"/>
        </w:rPr>
        <w:t xml:space="preserve">- vorsichtig gerechnet – folgende Fallzahlen prognostiziert: </w:t>
      </w:r>
      <w:r w:rsidRPr="001C1576">
        <w:rPr>
          <w:sz w:val="22"/>
          <w:szCs w:val="22"/>
        </w:rPr>
        <w:t>2.000 Steuerpflichtige</w:t>
      </w:r>
      <w:r w:rsidR="00CC7F1C" w:rsidRPr="001C1576">
        <w:rPr>
          <w:sz w:val="22"/>
          <w:szCs w:val="22"/>
        </w:rPr>
        <w:t xml:space="preserve"> s</w:t>
      </w:r>
      <w:r w:rsidRPr="001C1576">
        <w:rPr>
          <w:sz w:val="22"/>
          <w:szCs w:val="22"/>
        </w:rPr>
        <w:t xml:space="preserve">owie ein Zuwachs </w:t>
      </w:r>
      <w:r w:rsidR="00D654DE" w:rsidRPr="001C1576">
        <w:rPr>
          <w:sz w:val="22"/>
          <w:szCs w:val="22"/>
        </w:rPr>
        <w:t xml:space="preserve">an Hauptwohnungen </w:t>
      </w:r>
      <w:r w:rsidRPr="001C1576">
        <w:rPr>
          <w:sz w:val="22"/>
          <w:szCs w:val="22"/>
        </w:rPr>
        <w:t xml:space="preserve">mit 2.000 bis 3.000 </w:t>
      </w:r>
      <w:r w:rsidR="00D654DE" w:rsidRPr="001C1576">
        <w:rPr>
          <w:sz w:val="22"/>
          <w:szCs w:val="22"/>
        </w:rPr>
        <w:t>Einwohner</w:t>
      </w:r>
      <w:r w:rsidR="00CC7F1C" w:rsidRPr="001C1576">
        <w:rPr>
          <w:sz w:val="22"/>
          <w:szCs w:val="22"/>
        </w:rPr>
        <w:t>n</w:t>
      </w:r>
      <w:r w:rsidRPr="001C1576">
        <w:rPr>
          <w:sz w:val="22"/>
          <w:szCs w:val="22"/>
        </w:rPr>
        <w:t xml:space="preserve">. </w:t>
      </w:r>
      <w:r w:rsidR="00E739D4" w:rsidRPr="001C1576">
        <w:rPr>
          <w:sz w:val="22"/>
          <w:szCs w:val="22"/>
        </w:rPr>
        <w:t xml:space="preserve">Bis Ende 2013 wurden </w:t>
      </w:r>
      <w:r w:rsidR="00AA2B8A">
        <w:rPr>
          <w:sz w:val="22"/>
          <w:szCs w:val="22"/>
        </w:rPr>
        <w:t>jedoch bereits</w:t>
      </w:r>
      <w:r w:rsidR="00E739D4" w:rsidRPr="001C1576">
        <w:rPr>
          <w:sz w:val="22"/>
          <w:szCs w:val="22"/>
        </w:rPr>
        <w:t xml:space="preserve"> 5.000 Ummeldungen zur Hauptwo</w:t>
      </w:r>
      <w:r w:rsidR="00E739D4" w:rsidRPr="001C1576">
        <w:rPr>
          <w:sz w:val="22"/>
          <w:szCs w:val="22"/>
        </w:rPr>
        <w:t>h</w:t>
      </w:r>
      <w:r w:rsidR="00E739D4" w:rsidRPr="001C1576">
        <w:rPr>
          <w:sz w:val="22"/>
          <w:szCs w:val="22"/>
        </w:rPr>
        <w:t>nung erfasst. Auch bei der Steuerveranlagung wurden die E</w:t>
      </w:r>
      <w:r w:rsidR="00D245D4" w:rsidRPr="001C1576">
        <w:rPr>
          <w:sz w:val="22"/>
          <w:szCs w:val="22"/>
        </w:rPr>
        <w:t>rw</w:t>
      </w:r>
      <w:r w:rsidR="00CC7F1C" w:rsidRPr="001C1576">
        <w:rPr>
          <w:sz w:val="22"/>
          <w:szCs w:val="22"/>
        </w:rPr>
        <w:t>artungen erheblich übertroffen, sowohl bei den Bearbeitungsfällen als auch bei den Einnahmen, wie folgt:</w:t>
      </w:r>
    </w:p>
    <w:p w:rsidR="003306FE" w:rsidRPr="001C1576" w:rsidRDefault="003306FE" w:rsidP="00694161">
      <w:pPr>
        <w:rPr>
          <w:sz w:val="22"/>
          <w:szCs w:val="22"/>
        </w:rPr>
      </w:pPr>
    </w:p>
    <w:p w:rsidR="003306FE" w:rsidRPr="001C1576" w:rsidRDefault="00CC7F1C" w:rsidP="003306FE">
      <w:pPr>
        <w:rPr>
          <w:sz w:val="22"/>
          <w:szCs w:val="22"/>
        </w:rPr>
      </w:pPr>
      <w:r w:rsidRPr="001C1576">
        <w:rPr>
          <w:sz w:val="22"/>
          <w:szCs w:val="22"/>
        </w:rPr>
        <w:t>Steuerpflichtige (Zahlende</w:t>
      </w:r>
      <w:r w:rsidR="003306FE" w:rsidRPr="001C1576">
        <w:rPr>
          <w:sz w:val="22"/>
          <w:szCs w:val="22"/>
        </w:rPr>
        <w:t xml:space="preserve">)  </w:t>
      </w:r>
      <w:r w:rsidR="003306FE" w:rsidRPr="001C1576">
        <w:rPr>
          <w:sz w:val="22"/>
          <w:szCs w:val="22"/>
        </w:rPr>
        <w:tab/>
      </w:r>
      <w:r w:rsidR="003306FE" w:rsidRPr="001C1576">
        <w:rPr>
          <w:sz w:val="22"/>
          <w:szCs w:val="22"/>
        </w:rPr>
        <w:tab/>
      </w:r>
      <w:r w:rsidR="003306FE" w:rsidRPr="001C1576">
        <w:rPr>
          <w:sz w:val="22"/>
          <w:szCs w:val="22"/>
        </w:rPr>
        <w:tab/>
      </w:r>
      <w:r w:rsidR="003306FE" w:rsidRPr="001C1576">
        <w:rPr>
          <w:sz w:val="22"/>
          <w:szCs w:val="22"/>
        </w:rPr>
        <w:tab/>
      </w:r>
      <w:r w:rsidR="003306FE" w:rsidRPr="001C1576">
        <w:rPr>
          <w:sz w:val="22"/>
          <w:szCs w:val="22"/>
        </w:rPr>
        <w:tab/>
      </w:r>
      <w:r w:rsidR="003306FE" w:rsidRPr="001C1576">
        <w:rPr>
          <w:sz w:val="22"/>
          <w:szCs w:val="22"/>
        </w:rPr>
        <w:tab/>
      </w:r>
      <w:r w:rsidR="003306FE" w:rsidRPr="001C1576">
        <w:rPr>
          <w:sz w:val="22"/>
          <w:szCs w:val="22"/>
        </w:rPr>
        <w:tab/>
        <w:t xml:space="preserve"> </w:t>
      </w:r>
      <w:r w:rsidR="003306FE" w:rsidRPr="001C1576">
        <w:rPr>
          <w:sz w:val="22"/>
          <w:szCs w:val="22"/>
        </w:rPr>
        <w:tab/>
        <w:t xml:space="preserve"> 2.506</w:t>
      </w:r>
    </w:p>
    <w:p w:rsidR="00842F5B" w:rsidRPr="001C1576" w:rsidRDefault="00842F5B" w:rsidP="00842F5B">
      <w:pPr>
        <w:rPr>
          <w:sz w:val="22"/>
          <w:szCs w:val="22"/>
        </w:rPr>
      </w:pPr>
    </w:p>
    <w:p w:rsidR="00842F5B" w:rsidRPr="001C1576" w:rsidRDefault="00842F5B" w:rsidP="00842F5B">
      <w:pPr>
        <w:rPr>
          <w:sz w:val="22"/>
          <w:szCs w:val="22"/>
        </w:rPr>
      </w:pPr>
      <w:r w:rsidRPr="001C1576">
        <w:rPr>
          <w:sz w:val="22"/>
          <w:szCs w:val="22"/>
        </w:rPr>
        <w:t>Steuereinnahmen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>Ansatz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 xml:space="preserve">   </w:t>
      </w:r>
      <w:r w:rsidRPr="001C1576">
        <w:rPr>
          <w:sz w:val="22"/>
          <w:szCs w:val="22"/>
        </w:rPr>
        <w:tab/>
        <w:t xml:space="preserve">   Ist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</w:p>
    <w:p w:rsidR="00842F5B" w:rsidRPr="001C1576" w:rsidRDefault="00842F5B" w:rsidP="003306FE">
      <w:pPr>
        <w:rPr>
          <w:sz w:val="22"/>
          <w:szCs w:val="22"/>
        </w:rPr>
      </w:pPr>
      <w:r w:rsidRPr="001C1576">
        <w:rPr>
          <w:sz w:val="22"/>
          <w:szCs w:val="22"/>
        </w:rPr>
        <w:t>2011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>560.000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 xml:space="preserve">                     765.720</w:t>
      </w:r>
    </w:p>
    <w:p w:rsidR="00842F5B" w:rsidRPr="001C1576" w:rsidRDefault="00842F5B" w:rsidP="003306FE">
      <w:pPr>
        <w:rPr>
          <w:sz w:val="22"/>
          <w:szCs w:val="22"/>
        </w:rPr>
      </w:pPr>
      <w:r w:rsidRPr="001C1576">
        <w:rPr>
          <w:sz w:val="22"/>
          <w:szCs w:val="22"/>
        </w:rPr>
        <w:t>2012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="007D1825"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>840.000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 xml:space="preserve">                  1.216.751</w:t>
      </w:r>
    </w:p>
    <w:p w:rsidR="00842F5B" w:rsidRPr="001C1576" w:rsidRDefault="00842F5B" w:rsidP="003306FE">
      <w:pPr>
        <w:rPr>
          <w:sz w:val="22"/>
          <w:szCs w:val="22"/>
        </w:rPr>
      </w:pPr>
      <w:r w:rsidRPr="001C1576">
        <w:rPr>
          <w:sz w:val="22"/>
          <w:szCs w:val="22"/>
        </w:rPr>
        <w:t>2013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>840.000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 xml:space="preserve">      1.231.132</w:t>
      </w:r>
    </w:p>
    <w:p w:rsidR="00842F5B" w:rsidRPr="001C1576" w:rsidRDefault="00842F5B" w:rsidP="003306FE">
      <w:pPr>
        <w:rPr>
          <w:sz w:val="22"/>
          <w:szCs w:val="22"/>
        </w:rPr>
      </w:pPr>
      <w:r w:rsidRPr="001C1576">
        <w:rPr>
          <w:sz w:val="22"/>
          <w:szCs w:val="22"/>
        </w:rPr>
        <w:t>2014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>900.000</w:t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</w:r>
      <w:r w:rsidRPr="001C1576">
        <w:rPr>
          <w:sz w:val="22"/>
          <w:szCs w:val="22"/>
        </w:rPr>
        <w:tab/>
        <w:t xml:space="preserve">      1.276.224</w:t>
      </w:r>
    </w:p>
    <w:p w:rsidR="00CC7F1C" w:rsidRPr="001C1576" w:rsidRDefault="00CC7F1C" w:rsidP="003306FE">
      <w:pPr>
        <w:rPr>
          <w:sz w:val="22"/>
          <w:szCs w:val="22"/>
        </w:rPr>
      </w:pPr>
    </w:p>
    <w:p w:rsidR="001C1576" w:rsidRPr="001C1576" w:rsidRDefault="00E739D4" w:rsidP="00694161">
      <w:pPr>
        <w:rPr>
          <w:sz w:val="22"/>
          <w:szCs w:val="22"/>
        </w:rPr>
      </w:pPr>
      <w:r w:rsidRPr="001C1576">
        <w:rPr>
          <w:sz w:val="22"/>
          <w:szCs w:val="22"/>
        </w:rPr>
        <w:t>Neben den für die Steuerfestsetzung zu bearbeitenden Erklärungen sind auch</w:t>
      </w:r>
      <w:r w:rsidR="00105406">
        <w:rPr>
          <w:sz w:val="22"/>
          <w:szCs w:val="22"/>
        </w:rPr>
        <w:t xml:space="preserve"> viele Fälle zur </w:t>
      </w:r>
      <w:r w:rsidRPr="001C1576">
        <w:rPr>
          <w:sz w:val="22"/>
          <w:szCs w:val="22"/>
        </w:rPr>
        <w:t>Steuerbefrei</w:t>
      </w:r>
      <w:r w:rsidR="00105406">
        <w:rPr>
          <w:sz w:val="22"/>
          <w:szCs w:val="22"/>
        </w:rPr>
        <w:t>ung</w:t>
      </w:r>
      <w:r w:rsidRPr="001C1576">
        <w:rPr>
          <w:sz w:val="22"/>
          <w:szCs w:val="22"/>
        </w:rPr>
        <w:t xml:space="preserve"> (§ 3 </w:t>
      </w:r>
      <w:proofErr w:type="spellStart"/>
      <w:r w:rsidRPr="001C1576">
        <w:rPr>
          <w:sz w:val="22"/>
          <w:szCs w:val="22"/>
        </w:rPr>
        <w:t>ZwWStS</w:t>
      </w:r>
      <w:proofErr w:type="spellEnd"/>
      <w:r w:rsidR="001C1576">
        <w:rPr>
          <w:sz w:val="22"/>
          <w:szCs w:val="22"/>
        </w:rPr>
        <w:t xml:space="preserve">) zu prüfen, </w:t>
      </w:r>
      <w:r w:rsidR="00105406">
        <w:rPr>
          <w:sz w:val="22"/>
          <w:szCs w:val="22"/>
        </w:rPr>
        <w:t xml:space="preserve">was </w:t>
      </w:r>
      <w:r w:rsidR="001C1576">
        <w:rPr>
          <w:sz w:val="22"/>
          <w:szCs w:val="22"/>
        </w:rPr>
        <w:t>oft mit</w:t>
      </w:r>
      <w:r w:rsidRPr="001C1576">
        <w:rPr>
          <w:sz w:val="22"/>
          <w:szCs w:val="22"/>
        </w:rPr>
        <w:t xml:space="preserve"> mehrfache</w:t>
      </w:r>
      <w:r w:rsidR="001C1576">
        <w:rPr>
          <w:sz w:val="22"/>
          <w:szCs w:val="22"/>
        </w:rPr>
        <w:t>n</w:t>
      </w:r>
      <w:r w:rsidRPr="001C1576">
        <w:rPr>
          <w:sz w:val="22"/>
          <w:szCs w:val="22"/>
        </w:rPr>
        <w:t xml:space="preserve"> Nachfrage</w:t>
      </w:r>
      <w:r w:rsidR="001C1576">
        <w:rPr>
          <w:sz w:val="22"/>
          <w:szCs w:val="22"/>
        </w:rPr>
        <w:t>n</w:t>
      </w:r>
      <w:r w:rsidRPr="001C1576">
        <w:rPr>
          <w:sz w:val="22"/>
          <w:szCs w:val="22"/>
        </w:rPr>
        <w:t xml:space="preserve"> und </w:t>
      </w:r>
      <w:r w:rsidR="00AA2B8A">
        <w:rPr>
          <w:sz w:val="22"/>
          <w:szCs w:val="22"/>
        </w:rPr>
        <w:t xml:space="preserve">der </w:t>
      </w:r>
      <w:r w:rsidRPr="001C1576">
        <w:rPr>
          <w:sz w:val="22"/>
          <w:szCs w:val="22"/>
        </w:rPr>
        <w:t>Anford</w:t>
      </w:r>
      <w:r w:rsidRPr="001C1576">
        <w:rPr>
          <w:sz w:val="22"/>
          <w:szCs w:val="22"/>
        </w:rPr>
        <w:t>e</w:t>
      </w:r>
      <w:r w:rsidRPr="001C1576">
        <w:rPr>
          <w:sz w:val="22"/>
          <w:szCs w:val="22"/>
        </w:rPr>
        <w:t>rung von Unterlagen (z. B. überwiegender Aufenthalt)</w:t>
      </w:r>
      <w:r w:rsidR="00105406">
        <w:rPr>
          <w:sz w:val="22"/>
          <w:szCs w:val="22"/>
        </w:rPr>
        <w:t xml:space="preserve"> verbunden ist</w:t>
      </w:r>
      <w:r w:rsidRPr="001C1576">
        <w:rPr>
          <w:sz w:val="22"/>
          <w:szCs w:val="22"/>
        </w:rPr>
        <w:t xml:space="preserve">. </w:t>
      </w:r>
      <w:r w:rsidR="001C1576">
        <w:rPr>
          <w:sz w:val="22"/>
          <w:szCs w:val="22"/>
        </w:rPr>
        <w:t>Bei</w:t>
      </w:r>
      <w:r w:rsidRPr="001C1576">
        <w:rPr>
          <w:sz w:val="22"/>
          <w:szCs w:val="22"/>
        </w:rPr>
        <w:t xml:space="preserve"> Befre</w:t>
      </w:r>
      <w:r w:rsidRPr="001C1576">
        <w:rPr>
          <w:sz w:val="22"/>
          <w:szCs w:val="22"/>
        </w:rPr>
        <w:t>i</w:t>
      </w:r>
      <w:r w:rsidRPr="001C1576">
        <w:rPr>
          <w:sz w:val="22"/>
          <w:szCs w:val="22"/>
        </w:rPr>
        <w:t xml:space="preserve">ungen </w:t>
      </w:r>
      <w:r w:rsidR="001C1576">
        <w:rPr>
          <w:sz w:val="22"/>
          <w:szCs w:val="22"/>
        </w:rPr>
        <w:t xml:space="preserve">muss </w:t>
      </w:r>
      <w:r w:rsidRPr="001C1576">
        <w:rPr>
          <w:sz w:val="22"/>
          <w:szCs w:val="22"/>
        </w:rPr>
        <w:t>(</w:t>
      </w:r>
      <w:r w:rsidR="001C1576">
        <w:rPr>
          <w:sz w:val="22"/>
          <w:szCs w:val="22"/>
        </w:rPr>
        <w:t>v. a.</w:t>
      </w:r>
      <w:r w:rsidRPr="001C1576">
        <w:rPr>
          <w:sz w:val="22"/>
          <w:szCs w:val="22"/>
        </w:rPr>
        <w:t xml:space="preserve"> bei Studenten und Berufstätigen) in vertretbaren Zeitabständen überprüft werden</w:t>
      </w:r>
      <w:r w:rsidR="001C1576">
        <w:rPr>
          <w:sz w:val="22"/>
          <w:szCs w:val="22"/>
        </w:rPr>
        <w:t>,</w:t>
      </w:r>
      <w:r w:rsidRPr="001C1576">
        <w:rPr>
          <w:sz w:val="22"/>
          <w:szCs w:val="22"/>
        </w:rPr>
        <w:t xml:space="preserve"> ob die V</w:t>
      </w:r>
      <w:r w:rsidRPr="001C1576">
        <w:rPr>
          <w:sz w:val="22"/>
          <w:szCs w:val="22"/>
        </w:rPr>
        <w:t>o</w:t>
      </w:r>
      <w:r w:rsidRPr="001C1576">
        <w:rPr>
          <w:sz w:val="22"/>
          <w:szCs w:val="22"/>
        </w:rPr>
        <w:t>raussetzung</w:t>
      </w:r>
      <w:r w:rsidR="00AA2B8A">
        <w:rPr>
          <w:sz w:val="22"/>
          <w:szCs w:val="22"/>
        </w:rPr>
        <w:t>en</w:t>
      </w:r>
      <w:r w:rsidR="001C1576">
        <w:rPr>
          <w:sz w:val="22"/>
          <w:szCs w:val="22"/>
        </w:rPr>
        <w:t xml:space="preserve"> für </w:t>
      </w:r>
      <w:r w:rsidR="00AA2B8A">
        <w:rPr>
          <w:sz w:val="22"/>
          <w:szCs w:val="22"/>
        </w:rPr>
        <w:t>eine</w:t>
      </w:r>
      <w:r w:rsidRPr="001C1576">
        <w:rPr>
          <w:sz w:val="22"/>
          <w:szCs w:val="22"/>
        </w:rPr>
        <w:t xml:space="preserve"> Befreiung noch vorlieg</w:t>
      </w:r>
      <w:r w:rsidR="00AA2B8A">
        <w:rPr>
          <w:sz w:val="22"/>
          <w:szCs w:val="22"/>
        </w:rPr>
        <w:t>en.</w:t>
      </w:r>
    </w:p>
    <w:p w:rsidR="001C1576" w:rsidRPr="001C1576" w:rsidRDefault="001C1576" w:rsidP="00694161">
      <w:pPr>
        <w:rPr>
          <w:sz w:val="22"/>
          <w:szCs w:val="22"/>
        </w:rPr>
      </w:pPr>
    </w:p>
    <w:p w:rsidR="001C1576" w:rsidRPr="001C1576" w:rsidRDefault="001C1576" w:rsidP="001C1576">
      <w:pPr>
        <w:rPr>
          <w:sz w:val="22"/>
          <w:szCs w:val="22"/>
        </w:rPr>
      </w:pPr>
      <w:r w:rsidRPr="001C1576">
        <w:rPr>
          <w:sz w:val="22"/>
          <w:szCs w:val="22"/>
        </w:rPr>
        <w:t xml:space="preserve">Die Zahl der Rechtsbehelfsverfahren </w:t>
      </w:r>
      <w:r w:rsidR="00105406" w:rsidRPr="001C1576">
        <w:rPr>
          <w:sz w:val="22"/>
          <w:szCs w:val="22"/>
        </w:rPr>
        <w:t xml:space="preserve">ist </w:t>
      </w:r>
      <w:r w:rsidRPr="001C1576">
        <w:rPr>
          <w:sz w:val="22"/>
          <w:szCs w:val="22"/>
        </w:rPr>
        <w:t>im Verhältnis zu anderen Steuerarten extrem hoch. Der damit verbundene Aufwand ist erheblich, zumal sich die Rechtsprechung immer wieder ändert.</w:t>
      </w:r>
    </w:p>
    <w:p w:rsidR="001C1576" w:rsidRPr="001C1576" w:rsidRDefault="001C1576" w:rsidP="001C1576">
      <w:pPr>
        <w:rPr>
          <w:sz w:val="22"/>
          <w:szCs w:val="22"/>
        </w:rPr>
      </w:pPr>
    </w:p>
    <w:p w:rsidR="001C1576" w:rsidRPr="001C1576" w:rsidRDefault="001C1576">
      <w:pPr>
        <w:rPr>
          <w:sz w:val="22"/>
          <w:szCs w:val="22"/>
        </w:rPr>
      </w:pPr>
      <w:r w:rsidRPr="001C1576">
        <w:rPr>
          <w:sz w:val="22"/>
          <w:szCs w:val="22"/>
        </w:rPr>
        <w:t xml:space="preserve">Aufgrund dieser Fakten </w:t>
      </w:r>
      <w:r w:rsidR="00105406">
        <w:rPr>
          <w:sz w:val="22"/>
          <w:szCs w:val="22"/>
        </w:rPr>
        <w:t>ist</w:t>
      </w:r>
      <w:r w:rsidRPr="001C1576">
        <w:rPr>
          <w:sz w:val="22"/>
          <w:szCs w:val="22"/>
        </w:rPr>
        <w:t xml:space="preserve"> </w:t>
      </w:r>
      <w:r w:rsidR="00105406">
        <w:rPr>
          <w:sz w:val="22"/>
          <w:szCs w:val="22"/>
        </w:rPr>
        <w:t xml:space="preserve">die Stelle </w:t>
      </w:r>
      <w:r w:rsidRPr="001C1576">
        <w:rPr>
          <w:sz w:val="22"/>
          <w:szCs w:val="22"/>
        </w:rPr>
        <w:t>auch nach der seit Mitte 2014 abgeschlossenen Einfü</w:t>
      </w:r>
      <w:r w:rsidRPr="001C1576">
        <w:rPr>
          <w:sz w:val="22"/>
          <w:szCs w:val="22"/>
        </w:rPr>
        <w:t>h</w:t>
      </w:r>
      <w:r w:rsidRPr="001C1576">
        <w:rPr>
          <w:sz w:val="22"/>
          <w:szCs w:val="22"/>
        </w:rPr>
        <w:t xml:space="preserve">rungsphase dauerhaft </w:t>
      </w:r>
      <w:r w:rsidR="00105406">
        <w:rPr>
          <w:sz w:val="22"/>
          <w:szCs w:val="22"/>
        </w:rPr>
        <w:t>notwendig,</w:t>
      </w:r>
      <w:r w:rsidRPr="001C1576">
        <w:rPr>
          <w:sz w:val="22"/>
          <w:szCs w:val="22"/>
        </w:rPr>
        <w:t xml:space="preserve"> um die Aufgabenerfüllung zu gewährleisten. Deshalb wird der Wegfall des Stellen</w:t>
      </w:r>
      <w:r w:rsidR="00105406">
        <w:rPr>
          <w:sz w:val="22"/>
          <w:szCs w:val="22"/>
        </w:rPr>
        <w:t>vermerks bei der Stelle Nr. 200.060</w:t>
      </w:r>
      <w:r w:rsidRPr="001C1576">
        <w:rPr>
          <w:sz w:val="22"/>
          <w:szCs w:val="22"/>
        </w:rPr>
        <w:t>3.230 beantragt.</w:t>
      </w:r>
    </w:p>
    <w:sectPr w:rsidR="001C1576" w:rsidRPr="001C1576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76" w:rsidRDefault="001C1576">
      <w:r>
        <w:separator/>
      </w:r>
    </w:p>
  </w:endnote>
  <w:endnote w:type="continuationSeparator" w:id="0">
    <w:p w:rsidR="001C1576" w:rsidRDefault="001C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76" w:rsidRDefault="001C1576">
      <w:r>
        <w:separator/>
      </w:r>
    </w:p>
  </w:footnote>
  <w:footnote w:type="continuationSeparator" w:id="0">
    <w:p w:rsidR="001C1576" w:rsidRDefault="001C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76" w:rsidRDefault="001C157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8478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84782">
      <w:rPr>
        <w:rStyle w:val="Seitenzahl"/>
      </w:rPr>
      <w:fldChar w:fldCharType="separate"/>
    </w:r>
    <w:r w:rsidR="00AA2B8A">
      <w:rPr>
        <w:rStyle w:val="Seitenzahl"/>
        <w:noProof/>
      </w:rPr>
      <w:t>2</w:t>
    </w:r>
    <w:r w:rsidR="00584782">
      <w:rPr>
        <w:rStyle w:val="Seitenzahl"/>
      </w:rPr>
      <w:fldChar w:fldCharType="end"/>
    </w:r>
    <w:r>
      <w:rPr>
        <w:rStyle w:val="Seitenzahl"/>
      </w:rPr>
      <w:t xml:space="preserve"> -</w:t>
    </w:r>
  </w:p>
  <w:p w:rsidR="001C1576" w:rsidRDefault="001C15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72ED"/>
    <w:rsid w:val="00041815"/>
    <w:rsid w:val="00070571"/>
    <w:rsid w:val="00084314"/>
    <w:rsid w:val="00086AD2"/>
    <w:rsid w:val="000A1146"/>
    <w:rsid w:val="000D0668"/>
    <w:rsid w:val="00105406"/>
    <w:rsid w:val="001058DD"/>
    <w:rsid w:val="00105DB0"/>
    <w:rsid w:val="0013761F"/>
    <w:rsid w:val="00160988"/>
    <w:rsid w:val="00165C0D"/>
    <w:rsid w:val="00181857"/>
    <w:rsid w:val="001A123A"/>
    <w:rsid w:val="001C1576"/>
    <w:rsid w:val="001D5334"/>
    <w:rsid w:val="001F5D9F"/>
    <w:rsid w:val="00202ED0"/>
    <w:rsid w:val="002058C2"/>
    <w:rsid w:val="00213C7A"/>
    <w:rsid w:val="00224D10"/>
    <w:rsid w:val="00254E03"/>
    <w:rsid w:val="002812E4"/>
    <w:rsid w:val="002924CB"/>
    <w:rsid w:val="002B6783"/>
    <w:rsid w:val="002C2BCF"/>
    <w:rsid w:val="0031765D"/>
    <w:rsid w:val="003237BB"/>
    <w:rsid w:val="003306FE"/>
    <w:rsid w:val="003D5196"/>
    <w:rsid w:val="003D7B0B"/>
    <w:rsid w:val="003E6D72"/>
    <w:rsid w:val="00400835"/>
    <w:rsid w:val="00411F9D"/>
    <w:rsid w:val="00432822"/>
    <w:rsid w:val="0045472E"/>
    <w:rsid w:val="0047686F"/>
    <w:rsid w:val="004920E9"/>
    <w:rsid w:val="00497423"/>
    <w:rsid w:val="004B6796"/>
    <w:rsid w:val="004D7F89"/>
    <w:rsid w:val="005369FC"/>
    <w:rsid w:val="00584782"/>
    <w:rsid w:val="005923AD"/>
    <w:rsid w:val="005E7511"/>
    <w:rsid w:val="005E7A74"/>
    <w:rsid w:val="00692AC9"/>
    <w:rsid w:val="00694161"/>
    <w:rsid w:val="006B7519"/>
    <w:rsid w:val="006E0575"/>
    <w:rsid w:val="00746A71"/>
    <w:rsid w:val="00767369"/>
    <w:rsid w:val="0077434A"/>
    <w:rsid w:val="00782FD5"/>
    <w:rsid w:val="00795CC2"/>
    <w:rsid w:val="007B4CCF"/>
    <w:rsid w:val="007B5FE2"/>
    <w:rsid w:val="007D1825"/>
    <w:rsid w:val="007E7A30"/>
    <w:rsid w:val="0083052F"/>
    <w:rsid w:val="00842F5B"/>
    <w:rsid w:val="00884D6C"/>
    <w:rsid w:val="00891246"/>
    <w:rsid w:val="00893E55"/>
    <w:rsid w:val="008B626B"/>
    <w:rsid w:val="009239D5"/>
    <w:rsid w:val="009807EB"/>
    <w:rsid w:val="009B0FBE"/>
    <w:rsid w:val="009C05D5"/>
    <w:rsid w:val="009C4E2E"/>
    <w:rsid w:val="00A304B8"/>
    <w:rsid w:val="00A34898"/>
    <w:rsid w:val="00A77F1E"/>
    <w:rsid w:val="00AA2B8A"/>
    <w:rsid w:val="00AB2628"/>
    <w:rsid w:val="00B04290"/>
    <w:rsid w:val="00B238D8"/>
    <w:rsid w:val="00B313FB"/>
    <w:rsid w:val="00B322D2"/>
    <w:rsid w:val="00B4613E"/>
    <w:rsid w:val="00B80DEF"/>
    <w:rsid w:val="00C42332"/>
    <w:rsid w:val="00C448D3"/>
    <w:rsid w:val="00C637DB"/>
    <w:rsid w:val="00C84BF0"/>
    <w:rsid w:val="00CC7F1C"/>
    <w:rsid w:val="00CD0B27"/>
    <w:rsid w:val="00CD6341"/>
    <w:rsid w:val="00D14F24"/>
    <w:rsid w:val="00D24277"/>
    <w:rsid w:val="00D245D4"/>
    <w:rsid w:val="00D33FF7"/>
    <w:rsid w:val="00D654DE"/>
    <w:rsid w:val="00DA24CD"/>
    <w:rsid w:val="00DA701E"/>
    <w:rsid w:val="00DE32BA"/>
    <w:rsid w:val="00DF268B"/>
    <w:rsid w:val="00DF3470"/>
    <w:rsid w:val="00E1162F"/>
    <w:rsid w:val="00E11D5F"/>
    <w:rsid w:val="00E739D4"/>
    <w:rsid w:val="00E95146"/>
    <w:rsid w:val="00EA25C8"/>
    <w:rsid w:val="00ED1870"/>
    <w:rsid w:val="00EF1A55"/>
    <w:rsid w:val="00EF5418"/>
    <w:rsid w:val="00F00C79"/>
    <w:rsid w:val="00F12D18"/>
    <w:rsid w:val="00F132FA"/>
    <w:rsid w:val="00F27657"/>
    <w:rsid w:val="00F27BB8"/>
    <w:rsid w:val="00F35676"/>
    <w:rsid w:val="00F701E1"/>
    <w:rsid w:val="00F77488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D33FF7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3FF7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D33FF7"/>
    <w:rPr>
      <w:sz w:val="16"/>
    </w:rPr>
  </w:style>
  <w:style w:type="paragraph" w:styleId="Kommentartext">
    <w:name w:val="annotation text"/>
    <w:basedOn w:val="Standard"/>
    <w:semiHidden/>
    <w:rsid w:val="00D33FF7"/>
    <w:rPr>
      <w:sz w:val="20"/>
    </w:rPr>
  </w:style>
  <w:style w:type="paragraph" w:styleId="Fuzeile">
    <w:name w:val="footer"/>
    <w:basedOn w:val="Standard"/>
    <w:rsid w:val="00D33FF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33FF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2A3B-90AE-4D35-9F4D-89585A7F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lastModifiedBy>U103007</cp:lastModifiedBy>
  <cp:revision>4</cp:revision>
  <cp:lastPrinted>2015-09-23T07:59:00Z</cp:lastPrinted>
  <dcterms:created xsi:type="dcterms:W3CDTF">2015-09-21T16:25:00Z</dcterms:created>
  <dcterms:modified xsi:type="dcterms:W3CDTF">2015-09-23T08:00:00Z</dcterms:modified>
</cp:coreProperties>
</file>