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700655">
        <w:rPr>
          <w:szCs w:val="24"/>
        </w:rPr>
        <w:t>7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700655">
        <w:rPr>
          <w:szCs w:val="24"/>
        </w:rPr>
        <w:t>799</w:t>
      </w:r>
      <w:r w:rsidR="005F5B3D">
        <w:rPr>
          <w:szCs w:val="24"/>
        </w:rPr>
        <w:t>/201</w:t>
      </w:r>
      <w:r w:rsidR="00D66D3A">
        <w:rPr>
          <w:szCs w:val="24"/>
        </w:rPr>
        <w:t>5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700655">
        <w:rPr>
          <w:b/>
          <w:sz w:val="36"/>
          <w:u w:val="single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480AF0">
        <w:rPr>
          <w:b/>
          <w:sz w:val="36"/>
          <w:szCs w:val="36"/>
          <w:u w:val="single"/>
        </w:rPr>
        <w:t>16</w:t>
      </w:r>
    </w:p>
    <w:p w:rsidR="003D7B0B" w:rsidRPr="00E42F96" w:rsidRDefault="003D7B0B" w:rsidP="006E057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2013"/>
        <w:gridCol w:w="851"/>
        <w:gridCol w:w="935"/>
        <w:gridCol w:w="1417"/>
      </w:tblGrid>
      <w:tr w:rsidR="005F5B3D" w:rsidRPr="006E0575" w:rsidTr="00050A9B">
        <w:trPr>
          <w:cantSplit/>
          <w:tblHeader/>
        </w:trPr>
        <w:tc>
          <w:tcPr>
            <w:tcW w:w="1814" w:type="dxa"/>
            <w:shd w:val="pct12" w:color="auto" w:fill="FFFFFF"/>
          </w:tcPr>
          <w:p w:rsidR="00184EDC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>(aut. Stpl.)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2013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935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5F5B3D" w:rsidRPr="006E0575" w:rsidTr="00050A9B">
        <w:tc>
          <w:tcPr>
            <w:tcW w:w="1814" w:type="dxa"/>
          </w:tcPr>
          <w:p w:rsidR="00B54EA6" w:rsidRDefault="00B54EA6" w:rsidP="006E0575">
            <w:pPr>
              <w:rPr>
                <w:sz w:val="20"/>
              </w:rPr>
            </w:pPr>
          </w:p>
          <w:p w:rsidR="00B54EA6" w:rsidRDefault="00B54EA6" w:rsidP="006E0575">
            <w:pPr>
              <w:rPr>
                <w:sz w:val="20"/>
              </w:rPr>
            </w:pPr>
            <w:r>
              <w:rPr>
                <w:sz w:val="20"/>
              </w:rPr>
              <w:t>Sachbearbeitung</w:t>
            </w:r>
          </w:p>
          <w:p w:rsidR="00B54EA6" w:rsidRDefault="00B54EA6" w:rsidP="006E0575">
            <w:pPr>
              <w:rPr>
                <w:sz w:val="20"/>
              </w:rPr>
            </w:pPr>
          </w:p>
          <w:p w:rsidR="0011112B" w:rsidRDefault="00050A9B" w:rsidP="006E0575">
            <w:pPr>
              <w:rPr>
                <w:sz w:val="20"/>
              </w:rPr>
            </w:pPr>
            <w:r>
              <w:rPr>
                <w:sz w:val="20"/>
              </w:rPr>
              <w:t>51</w:t>
            </w:r>
            <w:r w:rsidR="00447043">
              <w:rPr>
                <w:sz w:val="20"/>
              </w:rPr>
              <w:t>002000</w:t>
            </w:r>
          </w:p>
          <w:p w:rsidR="005F5B3D" w:rsidRPr="006E0575" w:rsidRDefault="005F5B3D" w:rsidP="006E057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5F5B3D" w:rsidRPr="006E0575" w:rsidRDefault="00480AF0" w:rsidP="006E0575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5F5B3D" w:rsidRDefault="00B54EA6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9</w:t>
            </w:r>
          </w:p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B54EA6" w:rsidRPr="006E0575" w:rsidRDefault="00B54EA6" w:rsidP="001F7237">
            <w:pPr>
              <w:jc w:val="center"/>
              <w:rPr>
                <w:sz w:val="20"/>
              </w:rPr>
            </w:pPr>
          </w:p>
        </w:tc>
        <w:tc>
          <w:tcPr>
            <w:tcW w:w="2013" w:type="dxa"/>
          </w:tcPr>
          <w:p w:rsidR="005F5B3D" w:rsidRDefault="005F5B3D" w:rsidP="006E0575">
            <w:pPr>
              <w:rPr>
                <w:sz w:val="20"/>
              </w:rPr>
            </w:pPr>
          </w:p>
          <w:p w:rsidR="00B54EA6" w:rsidRDefault="009F0FB6" w:rsidP="006E0575">
            <w:pPr>
              <w:rPr>
                <w:sz w:val="20"/>
              </w:rPr>
            </w:pPr>
            <w:r>
              <w:rPr>
                <w:sz w:val="20"/>
              </w:rPr>
              <w:t>Ernährungsfac</w:t>
            </w:r>
            <w:r>
              <w:rPr>
                <w:sz w:val="20"/>
              </w:rPr>
              <w:t>h</w:t>
            </w:r>
            <w:r w:rsidR="00447043">
              <w:rPr>
                <w:sz w:val="20"/>
              </w:rPr>
              <w:t>k</w:t>
            </w:r>
            <w:r w:rsidR="00B54EA6">
              <w:rPr>
                <w:sz w:val="20"/>
              </w:rPr>
              <w:t xml:space="preserve">raft, </w:t>
            </w:r>
          </w:p>
          <w:p w:rsidR="005F5B3D" w:rsidRDefault="00B54EA6" w:rsidP="006E0575">
            <w:pPr>
              <w:rPr>
                <w:sz w:val="20"/>
              </w:rPr>
            </w:pPr>
            <w:r>
              <w:rPr>
                <w:sz w:val="20"/>
              </w:rPr>
              <w:t>Ökotrophologin</w:t>
            </w:r>
          </w:p>
          <w:p w:rsidR="00B54EA6" w:rsidRDefault="00B54EA6" w:rsidP="006E0575">
            <w:pPr>
              <w:rPr>
                <w:sz w:val="20"/>
              </w:rPr>
            </w:pPr>
          </w:p>
          <w:p w:rsidR="00B54EA6" w:rsidRPr="006E0575" w:rsidRDefault="00B54EA6" w:rsidP="006E0575">
            <w:pPr>
              <w:rPr>
                <w:sz w:val="20"/>
              </w:rPr>
            </w:pPr>
          </w:p>
        </w:tc>
        <w:tc>
          <w:tcPr>
            <w:tcW w:w="851" w:type="dxa"/>
            <w:shd w:val="pct12" w:color="auto" w:fill="FFFFFF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Default="00B54EA6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B54EA6" w:rsidRPr="006E0575" w:rsidRDefault="00B54EA6" w:rsidP="00B54EA6">
            <w:pPr>
              <w:rPr>
                <w:sz w:val="20"/>
              </w:rPr>
            </w:pPr>
          </w:p>
        </w:tc>
        <w:tc>
          <w:tcPr>
            <w:tcW w:w="935" w:type="dxa"/>
          </w:tcPr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5F5B3D" w:rsidRPr="006E0575" w:rsidRDefault="00480AF0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700655" w:rsidRDefault="00700655" w:rsidP="001F723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-neutral</w:t>
            </w:r>
          </w:p>
          <w:p w:rsidR="00700655" w:rsidRDefault="00700655" w:rsidP="001F7237">
            <w:pPr>
              <w:jc w:val="center"/>
              <w:rPr>
                <w:sz w:val="20"/>
              </w:rPr>
            </w:pPr>
          </w:p>
          <w:p w:rsidR="005F5B3D" w:rsidRDefault="00700655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B54EA6">
              <w:rPr>
                <w:sz w:val="20"/>
              </w:rPr>
              <w:t>59.</w:t>
            </w:r>
            <w:r>
              <w:rPr>
                <w:sz w:val="20"/>
              </w:rPr>
              <w:t>800 €)</w:t>
            </w:r>
          </w:p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B54EA6" w:rsidRDefault="00B54EA6" w:rsidP="001F7237">
            <w:pPr>
              <w:jc w:val="center"/>
              <w:rPr>
                <w:sz w:val="20"/>
              </w:rPr>
            </w:pPr>
          </w:p>
          <w:p w:rsidR="00B54EA6" w:rsidRPr="006E0575" w:rsidRDefault="00B54EA6" w:rsidP="00AF1624">
            <w:pPr>
              <w:jc w:val="center"/>
              <w:rPr>
                <w:sz w:val="20"/>
              </w:rPr>
            </w:pP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3D7B0B" w:rsidRDefault="00AF1624" w:rsidP="00884D6C">
      <w:r>
        <w:t>Beantragt wird</w:t>
      </w:r>
      <w:r w:rsidR="00480AF0">
        <w:t xml:space="preserve"> </w:t>
      </w:r>
      <w:r w:rsidR="00050A9B">
        <w:t>eine</w:t>
      </w:r>
      <w:r w:rsidR="00B54EA6">
        <w:t xml:space="preserve"> Stelle für die Fortführung </w:t>
      </w:r>
      <w:r w:rsidR="00050A9B">
        <w:t>der Ernährungsaktionen in den Tages</w:t>
      </w:r>
      <w:r>
        <w:t>ei</w:t>
      </w:r>
      <w:r>
        <w:t>n</w:t>
      </w:r>
      <w:r>
        <w:t>richtungen für Kinder.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414BC5" w:rsidRDefault="00414BC5" w:rsidP="00884D6C"/>
    <w:p w:rsidR="00F1013F" w:rsidRDefault="00700655" w:rsidP="00700655">
      <w:r>
        <w:t xml:space="preserve">Die Schaffung ist </w:t>
      </w:r>
      <w:r w:rsidR="00F1013F">
        <w:t>haushaltsneutral durch Verwendung von Mitteln aus der Bildungsfö</w:t>
      </w:r>
      <w:r w:rsidR="00F1013F">
        <w:t>r</w:t>
      </w:r>
      <w:r w:rsidR="00F1013F">
        <w:t>derung.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414BC5" w:rsidRDefault="003D7B0B" w:rsidP="00884D6C">
      <w:pPr>
        <w:rPr>
          <w:noProof/>
          <w:szCs w:val="22"/>
        </w:rPr>
      </w:pPr>
    </w:p>
    <w:p w:rsidR="00414BC5" w:rsidRPr="00414BC5" w:rsidRDefault="00414BC5" w:rsidP="00414BC5">
      <w:pPr>
        <w:rPr>
          <w:noProof/>
          <w:szCs w:val="22"/>
        </w:rPr>
      </w:pPr>
      <w:r w:rsidRPr="0061270B">
        <w:rPr>
          <w:noProof/>
          <w:szCs w:val="22"/>
        </w:rPr>
        <w:t>Zum Haushalt 2014/2015 wurde das Projekt "Kita-Kinder entdecken L</w:t>
      </w:r>
      <w:r w:rsidR="00AC7320">
        <w:rPr>
          <w:noProof/>
          <w:szCs w:val="22"/>
        </w:rPr>
        <w:t>ebensmittel" ins Leben gerufen</w:t>
      </w:r>
      <w:r w:rsidR="001E248A">
        <w:rPr>
          <w:noProof/>
          <w:szCs w:val="22"/>
        </w:rPr>
        <w:t xml:space="preserve"> und die Personalkosten für eine Fach</w:t>
      </w:r>
      <w:r w:rsidR="0096339F">
        <w:rPr>
          <w:noProof/>
          <w:szCs w:val="22"/>
        </w:rPr>
        <w:t>beratung</w:t>
      </w:r>
      <w:r w:rsidR="001E248A">
        <w:rPr>
          <w:noProof/>
          <w:szCs w:val="22"/>
        </w:rPr>
        <w:t xml:space="preserve"> Ernährungspädagogik damit bis Ende 2015 finanziert.</w:t>
      </w:r>
      <w:r w:rsidRPr="0061270B">
        <w:rPr>
          <w:noProof/>
          <w:szCs w:val="22"/>
        </w:rPr>
        <w:t xml:space="preserve"> Voraus gingen die HH-Anträge </w:t>
      </w:r>
      <w:r>
        <w:rPr>
          <w:noProof/>
          <w:szCs w:val="22"/>
        </w:rPr>
        <w:t xml:space="preserve">„Vom Feld in den Magen“ </w:t>
      </w:r>
      <w:r w:rsidRPr="0061270B">
        <w:rPr>
          <w:noProof/>
          <w:szCs w:val="22"/>
        </w:rPr>
        <w:t>440/2013 von Bündnis 90/Die Grünen und 496</w:t>
      </w:r>
      <w:r>
        <w:rPr>
          <w:noProof/>
          <w:szCs w:val="22"/>
        </w:rPr>
        <w:t>/2013</w:t>
      </w:r>
      <w:r w:rsidRPr="0061270B">
        <w:rPr>
          <w:noProof/>
          <w:szCs w:val="22"/>
        </w:rPr>
        <w:t xml:space="preserve"> </w:t>
      </w:r>
      <w:r w:rsidR="00700655">
        <w:rPr>
          <w:noProof/>
          <w:szCs w:val="22"/>
        </w:rPr>
        <w:t>der</w:t>
      </w:r>
      <w:r w:rsidRPr="0061270B">
        <w:rPr>
          <w:noProof/>
          <w:szCs w:val="22"/>
        </w:rPr>
        <w:t xml:space="preserve"> CDU Gemeinderatsfraktion. </w:t>
      </w:r>
      <w:r w:rsidR="00AC7320">
        <w:rPr>
          <w:noProof/>
          <w:szCs w:val="22"/>
        </w:rPr>
        <w:t xml:space="preserve">Mit der </w:t>
      </w:r>
      <w:r w:rsidR="003877F3">
        <w:rPr>
          <w:noProof/>
          <w:szCs w:val="22"/>
        </w:rPr>
        <w:t xml:space="preserve">GRDrs </w:t>
      </w:r>
      <w:r w:rsidR="00AC7320" w:rsidRPr="0061270B">
        <w:rPr>
          <w:noProof/>
          <w:szCs w:val="22"/>
        </w:rPr>
        <w:t xml:space="preserve">375/2014 </w:t>
      </w:r>
      <w:r w:rsidR="00AC7320">
        <w:rPr>
          <w:noProof/>
          <w:szCs w:val="22"/>
        </w:rPr>
        <w:t xml:space="preserve">wurden </w:t>
      </w:r>
      <w:r w:rsidR="00700655">
        <w:rPr>
          <w:noProof/>
          <w:szCs w:val="22"/>
        </w:rPr>
        <w:t>dem</w:t>
      </w:r>
      <w:r w:rsidR="00700655" w:rsidRPr="0061270B">
        <w:rPr>
          <w:noProof/>
          <w:szCs w:val="22"/>
        </w:rPr>
        <w:t xml:space="preserve"> Gemeinderat</w:t>
      </w:r>
      <w:r w:rsidR="00700655">
        <w:rPr>
          <w:noProof/>
          <w:szCs w:val="22"/>
        </w:rPr>
        <w:t xml:space="preserve"> </w:t>
      </w:r>
      <w:r w:rsidR="00AC7320">
        <w:rPr>
          <w:noProof/>
          <w:szCs w:val="22"/>
        </w:rPr>
        <w:t>der erfolgreiche Start und die Umsetzung des Projektes vorgestellt</w:t>
      </w:r>
      <w:r w:rsidR="00AC7320" w:rsidRPr="0061270B">
        <w:rPr>
          <w:noProof/>
          <w:szCs w:val="22"/>
        </w:rPr>
        <w:t>.</w:t>
      </w:r>
      <w:r w:rsidR="00AC7320">
        <w:rPr>
          <w:noProof/>
          <w:szCs w:val="22"/>
        </w:rPr>
        <w:t xml:space="preserve"> Der Bedarf </w:t>
      </w:r>
      <w:r w:rsidR="00700655">
        <w:rPr>
          <w:noProof/>
          <w:szCs w:val="22"/>
        </w:rPr>
        <w:t xml:space="preserve">an </w:t>
      </w:r>
      <w:r w:rsidR="00AC7320">
        <w:rPr>
          <w:noProof/>
          <w:szCs w:val="22"/>
        </w:rPr>
        <w:t xml:space="preserve">dieser Fachberatung und </w:t>
      </w:r>
      <w:r w:rsidR="00700655">
        <w:rPr>
          <w:noProof/>
          <w:szCs w:val="22"/>
        </w:rPr>
        <w:t xml:space="preserve">an </w:t>
      </w:r>
      <w:r w:rsidR="00AC7320">
        <w:rPr>
          <w:noProof/>
          <w:szCs w:val="22"/>
        </w:rPr>
        <w:t xml:space="preserve">der Schulung von Kindern </w:t>
      </w:r>
      <w:r w:rsidR="0096339F">
        <w:rPr>
          <w:noProof/>
          <w:szCs w:val="22"/>
        </w:rPr>
        <w:t>und</w:t>
      </w:r>
      <w:r w:rsidR="00AC7320">
        <w:rPr>
          <w:noProof/>
          <w:szCs w:val="22"/>
        </w:rPr>
        <w:t xml:space="preserve"> Pädagogen hat sich im Laufe de</w:t>
      </w:r>
      <w:r w:rsidR="0096339F">
        <w:rPr>
          <w:noProof/>
          <w:szCs w:val="22"/>
        </w:rPr>
        <w:t>r Jahre</w:t>
      </w:r>
      <w:r w:rsidR="00AC7320">
        <w:rPr>
          <w:noProof/>
          <w:szCs w:val="22"/>
        </w:rPr>
        <w:t xml:space="preserve"> </w:t>
      </w:r>
      <w:r w:rsidR="001E248A">
        <w:rPr>
          <w:noProof/>
          <w:szCs w:val="22"/>
        </w:rPr>
        <w:t>2014</w:t>
      </w:r>
      <w:r w:rsidR="0096339F">
        <w:rPr>
          <w:noProof/>
          <w:szCs w:val="22"/>
        </w:rPr>
        <w:t>/2</w:t>
      </w:r>
      <w:r w:rsidR="007B645D">
        <w:rPr>
          <w:noProof/>
          <w:szCs w:val="22"/>
        </w:rPr>
        <w:t>01</w:t>
      </w:r>
      <w:r w:rsidR="0096339F">
        <w:rPr>
          <w:noProof/>
          <w:szCs w:val="22"/>
        </w:rPr>
        <w:t>5</w:t>
      </w:r>
      <w:r w:rsidR="001E248A">
        <w:rPr>
          <w:noProof/>
          <w:szCs w:val="22"/>
        </w:rPr>
        <w:t xml:space="preserve"> </w:t>
      </w:r>
      <w:r w:rsidR="00AC7320">
        <w:rPr>
          <w:noProof/>
          <w:szCs w:val="22"/>
        </w:rPr>
        <w:t>sehr deutlich gezeigt. Das Interesse, auch der Eltern, und die Nachfrage nach weiteren Aktionstagen war sehr groß.</w:t>
      </w:r>
      <w:r w:rsidR="0096339F">
        <w:rPr>
          <w:noProof/>
          <w:szCs w:val="22"/>
        </w:rPr>
        <w:br/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414BC5" w:rsidRDefault="00414BC5" w:rsidP="00884D6C">
      <w:pPr>
        <w:rPr>
          <w:noProof/>
          <w:szCs w:val="22"/>
        </w:rPr>
      </w:pPr>
    </w:p>
    <w:p w:rsidR="003D7B0B" w:rsidRDefault="00414BC5" w:rsidP="00884D6C">
      <w:pPr>
        <w:rPr>
          <w:noProof/>
          <w:szCs w:val="22"/>
        </w:rPr>
      </w:pPr>
      <w:r w:rsidRPr="0061270B">
        <w:rPr>
          <w:noProof/>
          <w:szCs w:val="22"/>
        </w:rPr>
        <w:t>In der zweiten Jahreshälfte 2014 wurden 53 Aktionstage für 400 Kinder durchgeführt</w:t>
      </w:r>
      <w:r w:rsidR="00700655">
        <w:rPr>
          <w:noProof/>
          <w:szCs w:val="22"/>
        </w:rPr>
        <w:t>.</w:t>
      </w:r>
      <w:r w:rsidRPr="0061270B">
        <w:rPr>
          <w:noProof/>
          <w:szCs w:val="22"/>
        </w:rPr>
        <w:t xml:space="preserve"> </w:t>
      </w:r>
      <w:r w:rsidR="001E248A">
        <w:rPr>
          <w:noProof/>
          <w:szCs w:val="22"/>
        </w:rPr>
        <w:t xml:space="preserve">Im Jahr </w:t>
      </w:r>
      <w:r w:rsidRPr="0061270B">
        <w:rPr>
          <w:noProof/>
          <w:szCs w:val="22"/>
        </w:rPr>
        <w:t xml:space="preserve">2015 </w:t>
      </w:r>
      <w:r w:rsidR="001E248A">
        <w:rPr>
          <w:noProof/>
          <w:szCs w:val="22"/>
        </w:rPr>
        <w:t>wurden ca.</w:t>
      </w:r>
      <w:r w:rsidRPr="0061270B">
        <w:rPr>
          <w:noProof/>
          <w:szCs w:val="22"/>
        </w:rPr>
        <w:t xml:space="preserve"> 100 Aktionstage in 70 Einrichtungen </w:t>
      </w:r>
      <w:r w:rsidR="001E248A">
        <w:rPr>
          <w:noProof/>
          <w:szCs w:val="22"/>
        </w:rPr>
        <w:t>durchgeführt.</w:t>
      </w:r>
      <w:r w:rsidRPr="0061270B">
        <w:rPr>
          <w:noProof/>
          <w:szCs w:val="22"/>
        </w:rPr>
        <w:t xml:space="preserve"> </w:t>
      </w:r>
      <w:r w:rsidR="001E248A">
        <w:rPr>
          <w:noProof/>
          <w:szCs w:val="22"/>
        </w:rPr>
        <w:t>N</w:t>
      </w:r>
      <w:r w:rsidRPr="0061270B">
        <w:rPr>
          <w:noProof/>
          <w:szCs w:val="22"/>
        </w:rPr>
        <w:t>ahezu 600 Kinder k</w:t>
      </w:r>
      <w:r w:rsidR="001E248A">
        <w:rPr>
          <w:noProof/>
          <w:szCs w:val="22"/>
        </w:rPr>
        <w:t>o</w:t>
      </w:r>
      <w:r w:rsidRPr="0061270B">
        <w:rPr>
          <w:noProof/>
          <w:szCs w:val="22"/>
        </w:rPr>
        <w:t>nn</w:t>
      </w:r>
      <w:r w:rsidR="001E248A">
        <w:rPr>
          <w:noProof/>
          <w:szCs w:val="22"/>
        </w:rPr>
        <w:t>t</w:t>
      </w:r>
      <w:r w:rsidRPr="0061270B">
        <w:rPr>
          <w:noProof/>
          <w:szCs w:val="22"/>
        </w:rPr>
        <w:t>en so erreicht werden. Das Ziel ist, diese Zahl zu verdoppeln.</w:t>
      </w:r>
    </w:p>
    <w:p w:rsidR="003D7B0B" w:rsidRDefault="00414BC5" w:rsidP="00884D6C">
      <w:r>
        <w:rPr>
          <w:noProof/>
          <w:szCs w:val="22"/>
        </w:rPr>
        <w:lastRenderedPageBreak/>
        <w:t>Darüber hinaus fanden Fortbildungsveranstaltungen für Pädagogen und El</w:t>
      </w:r>
      <w:r w:rsidR="00182B83">
        <w:rPr>
          <w:noProof/>
          <w:szCs w:val="22"/>
        </w:rPr>
        <w:t>t</w:t>
      </w:r>
      <w:r>
        <w:rPr>
          <w:noProof/>
          <w:szCs w:val="22"/>
        </w:rPr>
        <w:t xml:space="preserve">ern statt. Besonders in Einrichtungen mit einem hohen Anteil an Bonuscardempfängern wude das Angebot gut angenommen. </w:t>
      </w:r>
      <w:r w:rsidR="0096339F">
        <w:rPr>
          <w:noProof/>
          <w:szCs w:val="22"/>
        </w:rPr>
        <w:br/>
      </w:r>
      <w:r w:rsidR="0096339F">
        <w:rPr>
          <w:noProof/>
          <w:szCs w:val="22"/>
        </w:rPr>
        <w:br/>
        <w:t xml:space="preserve">Von der hier beantragten </w:t>
      </w:r>
      <w:r w:rsidR="007D53A2">
        <w:rPr>
          <w:noProof/>
          <w:szCs w:val="22"/>
        </w:rPr>
        <w:t xml:space="preserve">Stelle </w:t>
      </w:r>
      <w:r w:rsidR="0096339F">
        <w:rPr>
          <w:noProof/>
          <w:szCs w:val="22"/>
        </w:rPr>
        <w:t>sollen</w:t>
      </w:r>
      <w:r w:rsidR="007D53A2">
        <w:rPr>
          <w:noProof/>
          <w:szCs w:val="22"/>
        </w:rPr>
        <w:t xml:space="preserve"> </w:t>
      </w:r>
      <w:r w:rsidR="00681D14">
        <w:rPr>
          <w:noProof/>
          <w:szCs w:val="22"/>
        </w:rPr>
        <w:t>die</w:t>
      </w:r>
      <w:r w:rsidR="00AC7320">
        <w:rPr>
          <w:noProof/>
          <w:szCs w:val="22"/>
        </w:rPr>
        <w:t xml:space="preserve"> strukturellen und konzeption</w:t>
      </w:r>
      <w:r w:rsidR="007D53A2">
        <w:rPr>
          <w:noProof/>
          <w:szCs w:val="22"/>
        </w:rPr>
        <w:t>ellen Aufgaben der Ernährungs</w:t>
      </w:r>
      <w:r w:rsidR="001E248A">
        <w:rPr>
          <w:noProof/>
          <w:szCs w:val="22"/>
        </w:rPr>
        <w:t>p</w:t>
      </w:r>
      <w:r w:rsidR="007D53A2">
        <w:rPr>
          <w:noProof/>
          <w:szCs w:val="22"/>
        </w:rPr>
        <w:t>ädagogik und -</w:t>
      </w:r>
      <w:r w:rsidR="00AC7320">
        <w:rPr>
          <w:noProof/>
          <w:szCs w:val="22"/>
        </w:rPr>
        <w:t>beratung übern</w:t>
      </w:r>
      <w:r w:rsidR="0096339F">
        <w:rPr>
          <w:noProof/>
          <w:szCs w:val="22"/>
        </w:rPr>
        <w:t>ommen werden</w:t>
      </w:r>
      <w:r w:rsidR="00AC7320">
        <w:rPr>
          <w:noProof/>
          <w:szCs w:val="22"/>
        </w:rPr>
        <w:t xml:space="preserve">. Sie wird zwei weitere </w:t>
      </w:r>
      <w:r w:rsidR="0096339F">
        <w:rPr>
          <w:noProof/>
          <w:szCs w:val="22"/>
        </w:rPr>
        <w:t xml:space="preserve">(vorhandene) </w:t>
      </w:r>
      <w:r w:rsidR="00AC7320">
        <w:rPr>
          <w:noProof/>
          <w:szCs w:val="22"/>
        </w:rPr>
        <w:t>Mitarbeiter</w:t>
      </w:r>
      <w:r w:rsidR="001E248A">
        <w:rPr>
          <w:noProof/>
          <w:szCs w:val="22"/>
        </w:rPr>
        <w:t>/-i</w:t>
      </w:r>
      <w:r w:rsidR="00AC7320">
        <w:rPr>
          <w:noProof/>
          <w:szCs w:val="22"/>
        </w:rPr>
        <w:t>nnen führen und anleiten</w:t>
      </w:r>
      <w:r w:rsidR="007D53A2">
        <w:rPr>
          <w:noProof/>
          <w:szCs w:val="22"/>
        </w:rPr>
        <w:t xml:space="preserve">. Darüber hinaus wird sie </w:t>
      </w:r>
      <w:r w:rsidR="00681D14">
        <w:rPr>
          <w:noProof/>
          <w:szCs w:val="22"/>
        </w:rPr>
        <w:t xml:space="preserve">weiterhin </w:t>
      </w:r>
      <w:r w:rsidR="00AC7320">
        <w:rPr>
          <w:noProof/>
          <w:szCs w:val="22"/>
        </w:rPr>
        <w:t xml:space="preserve">selbst Aktionstage durchführen und </w:t>
      </w:r>
      <w:r w:rsidR="007D53A2">
        <w:rPr>
          <w:noProof/>
          <w:szCs w:val="22"/>
        </w:rPr>
        <w:t xml:space="preserve">persönlich </w:t>
      </w:r>
      <w:r w:rsidR="00AC7320">
        <w:rPr>
          <w:noProof/>
          <w:szCs w:val="22"/>
        </w:rPr>
        <w:t>als Fachberatung für Pädagogen und Eltern</w:t>
      </w:r>
      <w:r w:rsidR="007D53A2">
        <w:rPr>
          <w:noProof/>
          <w:szCs w:val="22"/>
        </w:rPr>
        <w:t xml:space="preserve"> z.B. an Elternabenden</w:t>
      </w:r>
      <w:r w:rsidR="00AC7320">
        <w:rPr>
          <w:noProof/>
          <w:szCs w:val="22"/>
        </w:rPr>
        <w:t xml:space="preserve"> zu</w:t>
      </w:r>
      <w:r w:rsidR="002A3599">
        <w:rPr>
          <w:noProof/>
          <w:szCs w:val="22"/>
        </w:rPr>
        <w:t>r</w:t>
      </w:r>
      <w:r w:rsidR="00AC7320">
        <w:rPr>
          <w:noProof/>
          <w:szCs w:val="22"/>
        </w:rPr>
        <w:t xml:space="preserve"> </w:t>
      </w:r>
      <w:r w:rsidR="007D53A2">
        <w:rPr>
          <w:noProof/>
          <w:szCs w:val="22"/>
        </w:rPr>
        <w:t>V</w:t>
      </w:r>
      <w:r w:rsidR="00AC7320">
        <w:rPr>
          <w:noProof/>
          <w:szCs w:val="22"/>
        </w:rPr>
        <w:t>erfügung stehen.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414BC5" w:rsidRDefault="00414BC5" w:rsidP="00884D6C">
      <w:r>
        <w:t xml:space="preserve">Die Aktionen, die Ernährungsberatung </w:t>
      </w:r>
      <w:r w:rsidR="001E248A">
        <w:t>für</w:t>
      </w:r>
      <w:r>
        <w:t xml:space="preserve"> Pädagogen und Eltern usw. könn</w:t>
      </w:r>
      <w:r w:rsidR="001E248A">
        <w:t>t</w:t>
      </w:r>
      <w:r>
        <w:t xml:space="preserve">en nicht </w:t>
      </w:r>
      <w:r w:rsidR="00182B83">
        <w:t xml:space="preserve">mehr </w:t>
      </w:r>
      <w:r w:rsidR="001E248A">
        <w:t>durchgeführt werden.</w:t>
      </w:r>
    </w:p>
    <w:p w:rsidR="003D7B0B" w:rsidRDefault="003D7B0B" w:rsidP="00884D6C"/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E0575" w:rsidRDefault="00480AF0" w:rsidP="00884D6C">
      <w:r>
        <w:t>Keine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8A" w:rsidRDefault="001E248A">
      <w:r>
        <w:separator/>
      </w:r>
    </w:p>
  </w:endnote>
  <w:endnote w:type="continuationSeparator" w:id="0">
    <w:p w:rsidR="001E248A" w:rsidRDefault="001E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8A" w:rsidRDefault="001E248A">
      <w:r>
        <w:separator/>
      </w:r>
    </w:p>
  </w:footnote>
  <w:footnote w:type="continuationSeparator" w:id="0">
    <w:p w:rsidR="001E248A" w:rsidRDefault="001E2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8A" w:rsidRDefault="001E248A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3E1A5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3E1A5A">
      <w:rPr>
        <w:rStyle w:val="Seitenzahl"/>
      </w:rPr>
      <w:fldChar w:fldCharType="separate"/>
    </w:r>
    <w:r w:rsidR="007B645D">
      <w:rPr>
        <w:rStyle w:val="Seitenzahl"/>
        <w:noProof/>
      </w:rPr>
      <w:t>2</w:t>
    </w:r>
    <w:r w:rsidR="003E1A5A">
      <w:rPr>
        <w:rStyle w:val="Seitenzahl"/>
      </w:rPr>
      <w:fldChar w:fldCharType="end"/>
    </w:r>
    <w:r>
      <w:rPr>
        <w:rStyle w:val="Seitenzahl"/>
      </w:rPr>
      <w:t xml:space="preserve"> -</w:t>
    </w:r>
  </w:p>
  <w:p w:rsidR="001E248A" w:rsidRDefault="001E248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299E5FC6"/>
    <w:multiLevelType w:val="hybridMultilevel"/>
    <w:tmpl w:val="FB546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>
    <w:nsid w:val="537733A0"/>
    <w:multiLevelType w:val="hybridMultilevel"/>
    <w:tmpl w:val="9DBA6C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64" w:dllVersion="131078" w:nlCheck="1" w:checkStyle="1"/>
  <w:proofState w:spelling="clean" w:grammar="clean"/>
  <w:attachedTemplate r:id="rId1"/>
  <w:stylePaneFormatFilter w:val="3001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DA"/>
    <w:rsid w:val="00050A9B"/>
    <w:rsid w:val="00055758"/>
    <w:rsid w:val="00064E7A"/>
    <w:rsid w:val="000A1146"/>
    <w:rsid w:val="000E1DC1"/>
    <w:rsid w:val="001034AF"/>
    <w:rsid w:val="0011112B"/>
    <w:rsid w:val="00131CB8"/>
    <w:rsid w:val="0014415D"/>
    <w:rsid w:val="00163034"/>
    <w:rsid w:val="00164678"/>
    <w:rsid w:val="00165C0D"/>
    <w:rsid w:val="00181857"/>
    <w:rsid w:val="00182B83"/>
    <w:rsid w:val="00184EDC"/>
    <w:rsid w:val="00194770"/>
    <w:rsid w:val="001A5F9B"/>
    <w:rsid w:val="001E248A"/>
    <w:rsid w:val="001F7237"/>
    <w:rsid w:val="0021616E"/>
    <w:rsid w:val="002924CB"/>
    <w:rsid w:val="002A20D1"/>
    <w:rsid w:val="002A3599"/>
    <w:rsid w:val="002A4DE3"/>
    <w:rsid w:val="002B5955"/>
    <w:rsid w:val="00334A0F"/>
    <w:rsid w:val="00380937"/>
    <w:rsid w:val="003877F3"/>
    <w:rsid w:val="00397717"/>
    <w:rsid w:val="003D7B0B"/>
    <w:rsid w:val="003E1A5A"/>
    <w:rsid w:val="00414BC5"/>
    <w:rsid w:val="00447043"/>
    <w:rsid w:val="00461E5E"/>
    <w:rsid w:val="00470135"/>
    <w:rsid w:val="0047606A"/>
    <w:rsid w:val="00480AF0"/>
    <w:rsid w:val="004908B5"/>
    <w:rsid w:val="0049121B"/>
    <w:rsid w:val="004A1688"/>
    <w:rsid w:val="004B66F1"/>
    <w:rsid w:val="004B6796"/>
    <w:rsid w:val="00537862"/>
    <w:rsid w:val="00551EED"/>
    <w:rsid w:val="005A0A9D"/>
    <w:rsid w:val="005A56AA"/>
    <w:rsid w:val="005D0933"/>
    <w:rsid w:val="005E19C6"/>
    <w:rsid w:val="005E78B0"/>
    <w:rsid w:val="005F5B3D"/>
    <w:rsid w:val="00606F80"/>
    <w:rsid w:val="00622CC7"/>
    <w:rsid w:val="006368DF"/>
    <w:rsid w:val="00681D14"/>
    <w:rsid w:val="006B6D50"/>
    <w:rsid w:val="006C0349"/>
    <w:rsid w:val="006D43A8"/>
    <w:rsid w:val="006E0575"/>
    <w:rsid w:val="00700655"/>
    <w:rsid w:val="0072799A"/>
    <w:rsid w:val="00754659"/>
    <w:rsid w:val="007B645D"/>
    <w:rsid w:val="007D53A2"/>
    <w:rsid w:val="007E3B79"/>
    <w:rsid w:val="008066EE"/>
    <w:rsid w:val="00817BB6"/>
    <w:rsid w:val="00884D6C"/>
    <w:rsid w:val="008B3DAA"/>
    <w:rsid w:val="009373F6"/>
    <w:rsid w:val="0096339F"/>
    <w:rsid w:val="00976588"/>
    <w:rsid w:val="009F0FB6"/>
    <w:rsid w:val="00A27CA7"/>
    <w:rsid w:val="00A71D0A"/>
    <w:rsid w:val="00A77F1E"/>
    <w:rsid w:val="00A847C4"/>
    <w:rsid w:val="00AB389D"/>
    <w:rsid w:val="00AC19D5"/>
    <w:rsid w:val="00AC7320"/>
    <w:rsid w:val="00AF0DEA"/>
    <w:rsid w:val="00AF1624"/>
    <w:rsid w:val="00B04290"/>
    <w:rsid w:val="00B374DA"/>
    <w:rsid w:val="00B54EA6"/>
    <w:rsid w:val="00B66B0F"/>
    <w:rsid w:val="00B80DEF"/>
    <w:rsid w:val="00B91903"/>
    <w:rsid w:val="00BC4669"/>
    <w:rsid w:val="00C16EF1"/>
    <w:rsid w:val="00C256DC"/>
    <w:rsid w:val="00C448D3"/>
    <w:rsid w:val="00CF62E5"/>
    <w:rsid w:val="00D439F6"/>
    <w:rsid w:val="00D445ED"/>
    <w:rsid w:val="00D66D3A"/>
    <w:rsid w:val="00D743D4"/>
    <w:rsid w:val="00DB3D6C"/>
    <w:rsid w:val="00DC0255"/>
    <w:rsid w:val="00E014B6"/>
    <w:rsid w:val="00E1162F"/>
    <w:rsid w:val="00E11D5F"/>
    <w:rsid w:val="00E20E1F"/>
    <w:rsid w:val="00E42F96"/>
    <w:rsid w:val="00E7118F"/>
    <w:rsid w:val="00EC5AAB"/>
    <w:rsid w:val="00F1013F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F10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ersonalwesen\Stellenschaffung201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Stellenschaffung2015.dot</Template>
  <TotalTime>0</TotalTime>
  <Pages>2</Pages>
  <Words>306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u510162</dc:creator>
  <cp:lastModifiedBy>u103042</cp:lastModifiedBy>
  <cp:revision>5</cp:revision>
  <cp:lastPrinted>2015-10-15T05:58:00Z</cp:lastPrinted>
  <dcterms:created xsi:type="dcterms:W3CDTF">2015-09-07T10:02:00Z</dcterms:created>
  <dcterms:modified xsi:type="dcterms:W3CDTF">2015-10-15T05:58:00Z</dcterms:modified>
</cp:coreProperties>
</file>