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5F2A87">
        <w:rPr>
          <w:szCs w:val="24"/>
        </w:rPr>
        <w:t>15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5F2A87">
        <w:rPr>
          <w:szCs w:val="24"/>
        </w:rPr>
        <w:t>799</w:t>
      </w:r>
      <w:r w:rsidR="005F5B3D">
        <w:rPr>
          <w:szCs w:val="24"/>
        </w:rPr>
        <w:t>/201</w:t>
      </w:r>
      <w:r w:rsidR="00D66D3A">
        <w:rPr>
          <w:szCs w:val="24"/>
        </w:rPr>
        <w:t>5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5F2A87">
        <w:rPr>
          <w:b/>
          <w:sz w:val="36"/>
          <w:u w:val="single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97317A">
        <w:rPr>
          <w:b/>
          <w:sz w:val="36"/>
          <w:szCs w:val="36"/>
          <w:u w:val="single"/>
        </w:rPr>
        <w:t>16</w:t>
      </w:r>
    </w:p>
    <w:p w:rsidR="003D7B0B" w:rsidRPr="00E42F96" w:rsidRDefault="003D7B0B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9373F6">
        <w:trPr>
          <w:cantSplit/>
          <w:tblHeader/>
        </w:trPr>
        <w:tc>
          <w:tcPr>
            <w:tcW w:w="1814" w:type="dxa"/>
            <w:shd w:val="pct12" w:color="auto" w:fill="FFFFFF"/>
          </w:tcPr>
          <w:p w:rsidR="00184EDC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5F5B3D" w:rsidRPr="006E0575" w:rsidTr="005F5B3D">
        <w:tc>
          <w:tcPr>
            <w:tcW w:w="1814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Default="004B59B1" w:rsidP="006E0575">
            <w:pPr>
              <w:rPr>
                <w:sz w:val="20"/>
              </w:rPr>
            </w:pPr>
            <w:r>
              <w:rPr>
                <w:sz w:val="20"/>
              </w:rPr>
              <w:t>51-00-7</w:t>
            </w:r>
          </w:p>
          <w:p w:rsidR="0011112B" w:rsidRDefault="0011112B" w:rsidP="006E0575">
            <w:pPr>
              <w:rPr>
                <w:sz w:val="20"/>
              </w:rPr>
            </w:pPr>
          </w:p>
          <w:p w:rsidR="0011112B" w:rsidRDefault="004B59B1" w:rsidP="006E0575">
            <w:pPr>
              <w:rPr>
                <w:sz w:val="20"/>
              </w:rPr>
            </w:pPr>
            <w:r>
              <w:rPr>
                <w:sz w:val="20"/>
              </w:rPr>
              <w:t>51707000</w:t>
            </w:r>
          </w:p>
          <w:p w:rsidR="005F5B3D" w:rsidRPr="006E0575" w:rsidRDefault="005F5B3D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4B59B1" w:rsidP="006E0575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4B59B1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13</w:t>
            </w:r>
          </w:p>
        </w:tc>
        <w:tc>
          <w:tcPr>
            <w:tcW w:w="1928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4B59B1" w:rsidP="006E0575">
            <w:pPr>
              <w:rPr>
                <w:sz w:val="20"/>
              </w:rPr>
            </w:pPr>
            <w:r>
              <w:rPr>
                <w:sz w:val="20"/>
              </w:rPr>
              <w:t>Jugendhilfepl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ner/in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5F2A87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5F2A87" w:rsidP="00E215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E21560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Default="005F2A87" w:rsidP="00E2156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-neutral</w:t>
            </w:r>
          </w:p>
          <w:p w:rsidR="005F2A87" w:rsidRDefault="005F2A87" w:rsidP="00E21560">
            <w:pPr>
              <w:jc w:val="center"/>
              <w:rPr>
                <w:sz w:val="20"/>
              </w:rPr>
            </w:pPr>
          </w:p>
          <w:p w:rsidR="005F2A87" w:rsidRPr="006E0575" w:rsidRDefault="005F2A87" w:rsidP="00E215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(48.420 €)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E21560" w:rsidRDefault="005F2A87" w:rsidP="00884D6C">
      <w:r>
        <w:t xml:space="preserve">Beantragt wird eine </w:t>
      </w:r>
      <w:r w:rsidR="00E21560">
        <w:t xml:space="preserve">0,6 Stelle in EG 13 für </w:t>
      </w:r>
      <w:r>
        <w:t xml:space="preserve">die </w:t>
      </w:r>
      <w:r w:rsidR="00E21560">
        <w:t>Jugendhilfeplanung</w:t>
      </w:r>
      <w:r>
        <w:t xml:space="preserve"> beim Jugendamt</w:t>
      </w:r>
      <w:r w:rsidR="00E21560">
        <w:t>.</w:t>
      </w:r>
    </w:p>
    <w:p w:rsidR="005F2A87" w:rsidRDefault="005F2A87" w:rsidP="00884D6C"/>
    <w:p w:rsidR="003D7B0B" w:rsidRDefault="00E21560" w:rsidP="00884D6C">
      <w:r>
        <w:rPr>
          <w:noProof/>
          <w:szCs w:val="22"/>
        </w:rPr>
        <w:t xml:space="preserve">Über die Bildungsförderung und Qualitätsentwicklung in Stuttgarter Kindertageseinrichtungen wurde in Vorlage 125/2012 berichtet und das dort dargestellte Vorgehen vom Gemeinderat beschlossen. Für die dauerhafte Programmkoordination sind hierfür 60% Stellenanteile </w:t>
      </w:r>
      <w:r w:rsidR="005F2A87">
        <w:rPr>
          <w:noProof/>
          <w:szCs w:val="22"/>
        </w:rPr>
        <w:t>in</w:t>
      </w:r>
      <w:r>
        <w:rPr>
          <w:noProof/>
          <w:szCs w:val="22"/>
        </w:rPr>
        <w:t xml:space="preserve"> EG 13 bei der Jugendhilfeplanung verabschiedet worden. Die Arbeit in trägerübergreifenden Arbeitsgruppen (Qualitätsdialoge) wird als permanente stadtweite Qualitätsstruktur etabliert. Dabei werden immer wieder zentrale inhaltliche Themen trägerübergreifend entwickelt.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D7B0B" w:rsidRDefault="005F2A87" w:rsidP="00884D6C">
      <w:r>
        <w:rPr>
          <w:noProof/>
        </w:rPr>
        <w:t xml:space="preserve">Die Stellenschaffung ist haushaltsneutral. </w:t>
      </w:r>
      <w:r w:rsidR="00E21560">
        <w:rPr>
          <w:noProof/>
        </w:rPr>
        <w:t xml:space="preserve">In </w:t>
      </w:r>
      <w:r>
        <w:rPr>
          <w:noProof/>
        </w:rPr>
        <w:t>GRDrs</w:t>
      </w:r>
      <w:r w:rsidR="00E21560">
        <w:rPr>
          <w:noProof/>
        </w:rPr>
        <w:t xml:space="preserve"> 125/2012 sind die </w:t>
      </w:r>
      <w:r>
        <w:rPr>
          <w:noProof/>
        </w:rPr>
        <w:t>Personalkosten</w:t>
      </w:r>
      <w:r w:rsidR="00E21560">
        <w:rPr>
          <w:noProof/>
        </w:rPr>
        <w:t xml:space="preserve"> vom Gemeinderat genehmigt worden.</w:t>
      </w:r>
      <w:r>
        <w:rPr>
          <w:noProof/>
        </w:rPr>
        <w:t xml:space="preserve"> </w:t>
      </w:r>
      <w:r>
        <w:t>Die entspr</w:t>
      </w:r>
      <w:r>
        <w:t>e</w:t>
      </w:r>
      <w:r>
        <w:t>chende Stelle soll nun geschaffen werden.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5F2A87" w:rsidRDefault="006F4320" w:rsidP="00884D6C">
      <w:r>
        <w:t>Der Gemeinderat hat für die Bildungsförderung und Qualitätsentwicklung in Kindert</w:t>
      </w:r>
      <w:r>
        <w:t>a</w:t>
      </w:r>
      <w:r>
        <w:t>geseinrichtungen umfangreiche Förderpr</w:t>
      </w:r>
      <w:r w:rsidR="004B59B1">
        <w:t>ogramme verabschiedet. Neben in</w:t>
      </w:r>
      <w:r>
        <w:t>dividuellen</w:t>
      </w:r>
      <w:r w:rsidR="005F2A87">
        <w:t>,</w:t>
      </w:r>
      <w:r>
        <w:t xml:space="preserve"> fachlichen Begleitprozessen der Einrichtungen durch die Träger ist auch eine träge</w:t>
      </w:r>
      <w:r>
        <w:t>r</w:t>
      </w:r>
      <w:r>
        <w:t>übergreifende Verständigung notwendig. Die Federführung für diese trägerübergreife</w:t>
      </w:r>
      <w:r>
        <w:t>n</w:t>
      </w:r>
      <w:r>
        <w:t xml:space="preserve">den Aufgaben </w:t>
      </w:r>
      <w:r w:rsidR="004B59B1">
        <w:t>liegt</w:t>
      </w:r>
      <w:r>
        <w:t xml:space="preserve"> bei der Jugendh</w:t>
      </w:r>
      <w:r w:rsidR="005F2A87">
        <w:t>ilfeplanung.</w:t>
      </w:r>
    </w:p>
    <w:p w:rsidR="005F2A87" w:rsidRDefault="005F2A87" w:rsidP="00884D6C"/>
    <w:p w:rsidR="005F2A87" w:rsidRDefault="005F2A87" w:rsidP="005F2A87">
      <w:r>
        <w:t xml:space="preserve">Hierzu gehören: </w:t>
      </w:r>
      <w:r>
        <w:br/>
        <w:t>- d</w:t>
      </w:r>
      <w:r w:rsidR="006F4320">
        <w:t>ie Organisation, Vorbereitung, Moderation, Initiierung fachlicher Impulse im</w:t>
      </w:r>
    </w:p>
    <w:p w:rsidR="006E0575" w:rsidRDefault="005F2A87" w:rsidP="005F2A87">
      <w:r>
        <w:t xml:space="preserve">  </w:t>
      </w:r>
      <w:r w:rsidR="006F4320">
        <w:t>Zusa</w:t>
      </w:r>
      <w:r w:rsidR="006F4320">
        <w:t>m</w:t>
      </w:r>
      <w:r w:rsidR="006F4320">
        <w:t>menhang mit den Qualitätsdialogen</w:t>
      </w:r>
      <w:r>
        <w:t>.</w:t>
      </w:r>
    </w:p>
    <w:p w:rsidR="006F4320" w:rsidRDefault="006F4320" w:rsidP="005F2A87">
      <w:pPr>
        <w:ind w:left="142" w:hanging="142"/>
      </w:pPr>
      <w:r>
        <w:lastRenderedPageBreak/>
        <w:t>- die trägerübergreifende Koordinierung, die Beauftragung und der Ergebnistransfer der Elternbefragungen</w:t>
      </w:r>
      <w:r w:rsidR="005F2A87">
        <w:t>.</w:t>
      </w:r>
    </w:p>
    <w:p w:rsidR="006F4320" w:rsidRDefault="006F4320" w:rsidP="005F2A87">
      <w:pPr>
        <w:ind w:left="142" w:hanging="142"/>
      </w:pPr>
      <w:r>
        <w:t>- die Information und Beratung von Trägern, insbesonder</w:t>
      </w:r>
      <w:r w:rsidR="009705F3">
        <w:t>e</w:t>
      </w:r>
      <w:r>
        <w:t xml:space="preserve"> auch </w:t>
      </w:r>
      <w:r w:rsidR="009705F3">
        <w:t>von kleineren</w:t>
      </w:r>
      <w:r>
        <w:t xml:space="preserve"> Tr</w:t>
      </w:r>
      <w:r>
        <w:t>ä</w:t>
      </w:r>
      <w:r>
        <w:t>ger</w:t>
      </w:r>
      <w:r w:rsidR="009705F3">
        <w:t>n</w:t>
      </w:r>
      <w:r w:rsidR="005F2A87">
        <w:t>,</w:t>
      </w:r>
      <w:r>
        <w:t xml:space="preserve"> im Hinblick </w:t>
      </w:r>
      <w:r w:rsidR="005F2A87">
        <w:t xml:space="preserve">auf </w:t>
      </w:r>
      <w:r w:rsidR="009705F3">
        <w:t>Unterstützungsstrukturen im Rahmen der Bildungsförderung.</w:t>
      </w:r>
    </w:p>
    <w:p w:rsidR="005F2A87" w:rsidRDefault="005F2A87" w:rsidP="005F2A87">
      <w:pPr>
        <w:ind w:left="142" w:hanging="142"/>
      </w:pPr>
    </w:p>
    <w:p w:rsidR="006F4320" w:rsidRPr="006E0575" w:rsidRDefault="006F4320" w:rsidP="00884D6C">
      <w:r>
        <w:t xml:space="preserve">Für diese Aufgaben wurden der Jugendhilfeplanung entsprechende Finanzmittel für einen Stellenanteil von 60% im Rahmen der </w:t>
      </w:r>
      <w:proofErr w:type="spellStart"/>
      <w:r>
        <w:t>GRDrs</w:t>
      </w:r>
      <w:proofErr w:type="spellEnd"/>
      <w:r>
        <w:t xml:space="preserve"> 125/2012 bewilligt.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6F4320" w:rsidRDefault="006F4320" w:rsidP="006F4320">
      <w:r>
        <w:t>Mit den zu Verfügung stehenden Geldmitteln wurden die benötigten Personalressou</w:t>
      </w:r>
      <w:r>
        <w:t>r</w:t>
      </w:r>
      <w:r>
        <w:t xml:space="preserve">cen bei der Jugendhilfeplanung finanziert und dadurch die Aufgaben wahrgenommen. </w:t>
      </w:r>
    </w:p>
    <w:p w:rsidR="003D7B0B" w:rsidRDefault="003D7B0B" w:rsidP="00884D6C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3D7B0B" w:rsidRDefault="00E21560" w:rsidP="00884D6C">
      <w:r>
        <w:t>Die Aufgaben könn</w:t>
      </w:r>
      <w:r w:rsidR="005F2A87">
        <w:t>t</w:t>
      </w:r>
      <w:r>
        <w:t>en nicht wahrgenommen werden.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Default="005F2A87" w:rsidP="00884D6C">
      <w:r>
        <w:t>keine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20" w:rsidRDefault="006F4320">
      <w:r>
        <w:separator/>
      </w:r>
    </w:p>
  </w:endnote>
  <w:endnote w:type="continuationSeparator" w:id="0">
    <w:p w:rsidR="006F4320" w:rsidRDefault="006F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20" w:rsidRDefault="006F4320">
      <w:r>
        <w:separator/>
      </w:r>
    </w:p>
  </w:footnote>
  <w:footnote w:type="continuationSeparator" w:id="0">
    <w:p w:rsidR="006F4320" w:rsidRDefault="006F4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6B001E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B001E">
      <w:rPr>
        <w:rStyle w:val="Seitenzahl"/>
      </w:rPr>
      <w:fldChar w:fldCharType="separate"/>
    </w:r>
    <w:r w:rsidR="005F2A87">
      <w:rPr>
        <w:rStyle w:val="Seitenzahl"/>
        <w:noProof/>
      </w:rPr>
      <w:t>2</w:t>
    </w:r>
    <w:r w:rsidR="006B001E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9B1"/>
    <w:rsid w:val="00055758"/>
    <w:rsid w:val="000A1146"/>
    <w:rsid w:val="001034AF"/>
    <w:rsid w:val="0011112B"/>
    <w:rsid w:val="0014415D"/>
    <w:rsid w:val="00163034"/>
    <w:rsid w:val="00164678"/>
    <w:rsid w:val="00165C0D"/>
    <w:rsid w:val="00181857"/>
    <w:rsid w:val="00184EDC"/>
    <w:rsid w:val="00194770"/>
    <w:rsid w:val="001A5F9B"/>
    <w:rsid w:val="001F7237"/>
    <w:rsid w:val="002924CB"/>
    <w:rsid w:val="002A20D1"/>
    <w:rsid w:val="002A4DE3"/>
    <w:rsid w:val="002B5955"/>
    <w:rsid w:val="00380937"/>
    <w:rsid w:val="00397717"/>
    <w:rsid w:val="003D7B0B"/>
    <w:rsid w:val="00470135"/>
    <w:rsid w:val="0047606A"/>
    <w:rsid w:val="004908B5"/>
    <w:rsid w:val="0049121B"/>
    <w:rsid w:val="004A1688"/>
    <w:rsid w:val="004B3F00"/>
    <w:rsid w:val="004B59B1"/>
    <w:rsid w:val="004B6796"/>
    <w:rsid w:val="00551EED"/>
    <w:rsid w:val="005A0A9D"/>
    <w:rsid w:val="005A56AA"/>
    <w:rsid w:val="005E19C6"/>
    <w:rsid w:val="005F2A87"/>
    <w:rsid w:val="005F5B3D"/>
    <w:rsid w:val="00606F80"/>
    <w:rsid w:val="00622CC7"/>
    <w:rsid w:val="006368DF"/>
    <w:rsid w:val="006B001E"/>
    <w:rsid w:val="006B6D50"/>
    <w:rsid w:val="006E0575"/>
    <w:rsid w:val="006F4320"/>
    <w:rsid w:val="0072799A"/>
    <w:rsid w:val="00754659"/>
    <w:rsid w:val="007600CA"/>
    <w:rsid w:val="007E3B79"/>
    <w:rsid w:val="008066EE"/>
    <w:rsid w:val="00817BB6"/>
    <w:rsid w:val="00884D6C"/>
    <w:rsid w:val="008B3DAA"/>
    <w:rsid w:val="009373F6"/>
    <w:rsid w:val="009705F3"/>
    <w:rsid w:val="0097317A"/>
    <w:rsid w:val="00976588"/>
    <w:rsid w:val="00A27CA7"/>
    <w:rsid w:val="00A71D0A"/>
    <w:rsid w:val="00A77F1E"/>
    <w:rsid w:val="00A847C4"/>
    <w:rsid w:val="00AB389D"/>
    <w:rsid w:val="00AF0DEA"/>
    <w:rsid w:val="00B04290"/>
    <w:rsid w:val="00B66B0F"/>
    <w:rsid w:val="00B80DEF"/>
    <w:rsid w:val="00B91903"/>
    <w:rsid w:val="00BC4669"/>
    <w:rsid w:val="00C16EF1"/>
    <w:rsid w:val="00C448D3"/>
    <w:rsid w:val="00CF62E5"/>
    <w:rsid w:val="00D445ED"/>
    <w:rsid w:val="00D66D3A"/>
    <w:rsid w:val="00D743D4"/>
    <w:rsid w:val="00DB3D6C"/>
    <w:rsid w:val="00E014B6"/>
    <w:rsid w:val="00E1162F"/>
    <w:rsid w:val="00E11D5F"/>
    <w:rsid w:val="00E20E1F"/>
    <w:rsid w:val="00E21560"/>
    <w:rsid w:val="00E42F96"/>
    <w:rsid w:val="00E7118F"/>
    <w:rsid w:val="00E9102B"/>
    <w:rsid w:val="00EC5AAB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5F2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u510078</dc:creator>
  <cp:keywords/>
  <cp:lastModifiedBy>U103007</cp:lastModifiedBy>
  <cp:revision>3</cp:revision>
  <cp:lastPrinted>2015-10-12T16:43:00Z</cp:lastPrinted>
  <dcterms:created xsi:type="dcterms:W3CDTF">2015-09-07T10:21:00Z</dcterms:created>
  <dcterms:modified xsi:type="dcterms:W3CDTF">2015-10-12T16:44:00Z</dcterms:modified>
</cp:coreProperties>
</file>