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C1BA2">
        <w:rPr>
          <w:szCs w:val="24"/>
        </w:rPr>
        <w:t>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C1BA2">
        <w:rPr>
          <w:szCs w:val="24"/>
        </w:rPr>
        <w:t>801/2015</w:t>
      </w:r>
    </w:p>
    <w:p w:rsidR="003D7B0B" w:rsidRPr="006E0575" w:rsidRDefault="003D7B0B" w:rsidP="006E0575"/>
    <w:p w:rsidR="003D7B0B" w:rsidRPr="006E0575" w:rsidRDefault="003D7B0B" w:rsidP="006E0575"/>
    <w:p w:rsidR="003D7B0B" w:rsidRDefault="00A34898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 w:rsidRPr="00CD2B8D">
        <w:rPr>
          <w:b/>
          <w:sz w:val="36"/>
          <w:u w:val="single"/>
        </w:rPr>
        <w:t xml:space="preserve">Verlängerung </w:t>
      </w:r>
      <w:r w:rsidR="00635034">
        <w:rPr>
          <w:b/>
          <w:sz w:val="36"/>
          <w:u w:val="single"/>
        </w:rPr>
        <w:t>von Stellenvermerken</w:t>
      </w:r>
      <w:r w:rsidR="003D7B0B" w:rsidRPr="00CD2B8D">
        <w:rPr>
          <w:b/>
          <w:sz w:val="36"/>
          <w:u w:val="single"/>
        </w:rPr>
        <w:t xml:space="preserve"> </w:t>
      </w:r>
      <w:r w:rsidRPr="00CD2B8D">
        <w:rPr>
          <w:b/>
          <w:sz w:val="36"/>
          <w:u w:val="single"/>
        </w:rPr>
        <w:br/>
      </w:r>
      <w:r w:rsidR="003D7B0B">
        <w:rPr>
          <w:b/>
          <w:sz w:val="36"/>
          <w:u w:val="single"/>
        </w:rPr>
        <w:t>zum Stellenplan 20</w:t>
      </w:r>
      <w:r w:rsidR="002E442C">
        <w:rPr>
          <w:b/>
          <w:sz w:val="36"/>
          <w:u w:val="single"/>
        </w:rPr>
        <w:t>1</w:t>
      </w:r>
      <w:r w:rsidR="001F36B1">
        <w:rPr>
          <w:b/>
          <w:sz w:val="36"/>
          <w:u w:val="single"/>
        </w:rPr>
        <w:t>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1815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2E442C" w:rsidRDefault="002C29D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C29DC" w:rsidRDefault="002C29D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2C29DC" w:rsidRPr="006E0575" w:rsidRDefault="002C29D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2E442C" w:rsidRPr="00723653" w:rsidRDefault="002E442C" w:rsidP="002C29DC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</w:r>
            <w:proofErr w:type="spellStart"/>
            <w:r w:rsidRPr="00723653">
              <w:rPr>
                <w:sz w:val="16"/>
                <w:szCs w:val="16"/>
              </w:rPr>
              <w:t>vermerk</w:t>
            </w:r>
            <w:proofErr w:type="spellEnd"/>
            <w:r w:rsidRPr="00723653">
              <w:rPr>
                <w:sz w:val="16"/>
                <w:szCs w:val="16"/>
              </w:rPr>
              <w:br/>
            </w:r>
            <w:r w:rsidR="002C29DC">
              <w:rPr>
                <w:sz w:val="16"/>
                <w:szCs w:val="16"/>
              </w:rPr>
              <w:t>bisher</w:t>
            </w:r>
            <w:r w:rsidR="00723653" w:rsidRPr="00723653">
              <w:rPr>
                <w:sz w:val="16"/>
                <w:szCs w:val="16"/>
              </w:rPr>
              <w:t>/</w:t>
            </w:r>
            <w:r w:rsidRPr="00723653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2E442C" w:rsidRPr="006E0575" w:rsidRDefault="002E442C" w:rsidP="00D4629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2E442C" w:rsidRPr="006E0575">
        <w:tc>
          <w:tcPr>
            <w:tcW w:w="1814" w:type="dxa"/>
          </w:tcPr>
          <w:p w:rsidR="002E442C" w:rsidRPr="00A673E7" w:rsidRDefault="002E442C" w:rsidP="002812E4">
            <w:pPr>
              <w:rPr>
                <w:sz w:val="20"/>
              </w:rPr>
            </w:pPr>
          </w:p>
          <w:p w:rsidR="002B7A41" w:rsidRDefault="006F4462" w:rsidP="002812E4">
            <w:pPr>
              <w:rPr>
                <w:sz w:val="20"/>
              </w:rPr>
            </w:pPr>
            <w:r w:rsidRPr="00A673E7">
              <w:rPr>
                <w:sz w:val="20"/>
              </w:rPr>
              <w:t>660.0103.040</w:t>
            </w:r>
          </w:p>
          <w:p w:rsidR="00FC1BAA" w:rsidRDefault="00FC1BAA" w:rsidP="002812E4">
            <w:pPr>
              <w:rPr>
                <w:sz w:val="20"/>
              </w:rPr>
            </w:pPr>
          </w:p>
          <w:p w:rsidR="00FC1BAA" w:rsidRPr="00A673E7" w:rsidRDefault="00FC1BAA" w:rsidP="002812E4">
            <w:pPr>
              <w:rPr>
                <w:sz w:val="20"/>
              </w:rPr>
            </w:pPr>
            <w:r>
              <w:rPr>
                <w:sz w:val="20"/>
              </w:rPr>
              <w:t>66105000</w:t>
            </w: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Default="00E12D47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  <w:p w:rsidR="00451424" w:rsidRPr="006E0575" w:rsidRDefault="00451424" w:rsidP="002812E4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451424" w:rsidRDefault="00B40F65" w:rsidP="006F44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6F4462">
              <w:rPr>
                <w:sz w:val="20"/>
              </w:rPr>
              <w:t>6</w:t>
            </w:r>
          </w:p>
          <w:p w:rsidR="00451424" w:rsidRPr="006E0575" w:rsidRDefault="00451424" w:rsidP="003B4312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451424" w:rsidRDefault="006F4462" w:rsidP="002812E4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451424" w:rsidRPr="006E0575" w:rsidRDefault="00451424" w:rsidP="002812E4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Default="006F446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451424" w:rsidRPr="006E0575" w:rsidRDefault="00451424" w:rsidP="003B4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12D47" w:rsidRDefault="00451424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</w:t>
            </w:r>
            <w:r w:rsidR="00DE4C11">
              <w:rPr>
                <w:sz w:val="20"/>
              </w:rPr>
              <w:t>6</w:t>
            </w:r>
            <w:r w:rsidR="006F4462">
              <w:rPr>
                <w:sz w:val="20"/>
              </w:rPr>
              <w:t>/</w:t>
            </w:r>
          </w:p>
          <w:p w:rsidR="002E442C" w:rsidRPr="00E12D47" w:rsidRDefault="006F4462" w:rsidP="00DE4C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01/</w:t>
            </w:r>
            <w:r w:rsidR="00A673E7">
              <w:rPr>
                <w:b/>
                <w:sz w:val="20"/>
              </w:rPr>
              <w:t>201</w:t>
            </w:r>
            <w:r w:rsidR="00DE4C11">
              <w:rPr>
                <w:b/>
                <w:sz w:val="20"/>
              </w:rPr>
              <w:t>7</w:t>
            </w: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2C29DC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635034" w:rsidRPr="006E0575">
        <w:tc>
          <w:tcPr>
            <w:tcW w:w="1814" w:type="dxa"/>
          </w:tcPr>
          <w:p w:rsidR="00635034" w:rsidRDefault="006F4462" w:rsidP="002812E4">
            <w:pPr>
              <w:rPr>
                <w:sz w:val="20"/>
              </w:rPr>
            </w:pPr>
            <w:r w:rsidRPr="00A673E7">
              <w:rPr>
                <w:sz w:val="20"/>
              </w:rPr>
              <w:t>660.0103.210</w:t>
            </w:r>
          </w:p>
          <w:p w:rsidR="00FC1BAA" w:rsidRDefault="00FC1BAA" w:rsidP="002812E4">
            <w:pPr>
              <w:rPr>
                <w:sz w:val="20"/>
              </w:rPr>
            </w:pPr>
          </w:p>
          <w:p w:rsidR="00FC1BAA" w:rsidRPr="00A673E7" w:rsidRDefault="00FC1BAA" w:rsidP="002812E4">
            <w:pPr>
              <w:rPr>
                <w:sz w:val="20"/>
              </w:rPr>
            </w:pPr>
            <w:r>
              <w:rPr>
                <w:sz w:val="20"/>
              </w:rPr>
              <w:t>66105001</w:t>
            </w:r>
          </w:p>
        </w:tc>
        <w:tc>
          <w:tcPr>
            <w:tcW w:w="1701" w:type="dxa"/>
          </w:tcPr>
          <w:p w:rsidR="00635034" w:rsidRDefault="006F4462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635034" w:rsidRDefault="006F446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635034" w:rsidRDefault="006F4462" w:rsidP="002812E4">
            <w:pPr>
              <w:rPr>
                <w:sz w:val="20"/>
              </w:rPr>
            </w:pPr>
            <w:r>
              <w:rPr>
                <w:sz w:val="20"/>
              </w:rPr>
              <w:t>Garagenwärter/-in</w:t>
            </w:r>
          </w:p>
        </w:tc>
        <w:tc>
          <w:tcPr>
            <w:tcW w:w="737" w:type="dxa"/>
            <w:shd w:val="pct12" w:color="auto" w:fill="FFFFFF"/>
          </w:tcPr>
          <w:p w:rsidR="00635034" w:rsidRDefault="006F446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A673E7" w:rsidRDefault="00A673E7" w:rsidP="00A67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</w:t>
            </w:r>
            <w:r w:rsidR="00DE4C11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</w:p>
          <w:p w:rsidR="00635034" w:rsidRDefault="00A673E7" w:rsidP="00DE4C1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01/201</w:t>
            </w:r>
            <w:r w:rsidR="00DE4C11">
              <w:rPr>
                <w:b/>
                <w:sz w:val="20"/>
              </w:rPr>
              <w:t>7</w:t>
            </w:r>
          </w:p>
        </w:tc>
        <w:tc>
          <w:tcPr>
            <w:tcW w:w="1417" w:type="dxa"/>
          </w:tcPr>
          <w:p w:rsidR="00635034" w:rsidRDefault="00635034" w:rsidP="003B4312">
            <w:pPr>
              <w:jc w:val="center"/>
              <w:rPr>
                <w:sz w:val="20"/>
              </w:rPr>
            </w:pPr>
          </w:p>
          <w:p w:rsidR="002C29DC" w:rsidRDefault="002C29DC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635034" w:rsidRPr="006E0575">
        <w:tc>
          <w:tcPr>
            <w:tcW w:w="1814" w:type="dxa"/>
          </w:tcPr>
          <w:p w:rsidR="00635034" w:rsidRDefault="006F4462" w:rsidP="002812E4">
            <w:pPr>
              <w:rPr>
                <w:sz w:val="20"/>
              </w:rPr>
            </w:pPr>
            <w:r w:rsidRPr="00A673E7">
              <w:rPr>
                <w:sz w:val="20"/>
              </w:rPr>
              <w:t>660.0103.250</w:t>
            </w:r>
          </w:p>
          <w:p w:rsidR="00FC1BAA" w:rsidRDefault="00FC1BAA" w:rsidP="002812E4">
            <w:pPr>
              <w:rPr>
                <w:sz w:val="20"/>
              </w:rPr>
            </w:pPr>
          </w:p>
          <w:p w:rsidR="00FC1BAA" w:rsidRPr="00A673E7" w:rsidRDefault="00FC1BAA" w:rsidP="002812E4">
            <w:pPr>
              <w:rPr>
                <w:sz w:val="20"/>
              </w:rPr>
            </w:pPr>
            <w:r>
              <w:rPr>
                <w:sz w:val="20"/>
              </w:rPr>
              <w:t>66105001</w:t>
            </w:r>
          </w:p>
        </w:tc>
        <w:tc>
          <w:tcPr>
            <w:tcW w:w="1701" w:type="dxa"/>
          </w:tcPr>
          <w:p w:rsidR="00635034" w:rsidRDefault="006F4462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635034" w:rsidRDefault="006F446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635034" w:rsidRDefault="006F4462" w:rsidP="002812E4">
            <w:pPr>
              <w:rPr>
                <w:sz w:val="20"/>
              </w:rPr>
            </w:pPr>
            <w:r>
              <w:rPr>
                <w:sz w:val="20"/>
              </w:rPr>
              <w:t>Garagenwärter/-in</w:t>
            </w:r>
          </w:p>
        </w:tc>
        <w:tc>
          <w:tcPr>
            <w:tcW w:w="737" w:type="dxa"/>
            <w:shd w:val="pct12" w:color="auto" w:fill="FFFFFF"/>
          </w:tcPr>
          <w:p w:rsidR="00635034" w:rsidRDefault="006F4462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A673E7" w:rsidRDefault="00A673E7" w:rsidP="00A673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</w:t>
            </w:r>
            <w:r w:rsidR="00DE4C11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</w:p>
          <w:p w:rsidR="00635034" w:rsidRDefault="00A673E7" w:rsidP="00DE4C1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01/201</w:t>
            </w:r>
            <w:r w:rsidR="00DE4C11">
              <w:rPr>
                <w:b/>
                <w:sz w:val="20"/>
              </w:rPr>
              <w:t>7</w:t>
            </w:r>
          </w:p>
        </w:tc>
        <w:tc>
          <w:tcPr>
            <w:tcW w:w="1417" w:type="dxa"/>
          </w:tcPr>
          <w:p w:rsidR="00635034" w:rsidRDefault="00635034" w:rsidP="003B4312">
            <w:pPr>
              <w:jc w:val="center"/>
              <w:rPr>
                <w:sz w:val="20"/>
              </w:rPr>
            </w:pPr>
          </w:p>
          <w:p w:rsidR="002C29DC" w:rsidRDefault="002C29DC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694161">
        <w:rPr>
          <w:b/>
        </w:rPr>
        <w:t>g</w:t>
      </w:r>
      <w:r w:rsidRPr="00694161">
        <w:rPr>
          <w:b/>
          <w:u w:val="single"/>
        </w:rPr>
        <w:t>ründun</w:t>
      </w:r>
      <w:r w:rsidRPr="00694161">
        <w:rPr>
          <w:b/>
        </w:rPr>
        <w:t>g</w:t>
      </w:r>
      <w:r w:rsidRPr="00694161">
        <w:rPr>
          <w:b/>
          <w:u w:val="single"/>
        </w:rPr>
        <w:t>:</w:t>
      </w:r>
    </w:p>
    <w:p w:rsidR="006F4462" w:rsidRDefault="006F4462" w:rsidP="006F4462">
      <w:pPr>
        <w:tabs>
          <w:tab w:val="left" w:pos="1985"/>
          <w:tab w:val="left" w:pos="4536"/>
          <w:tab w:val="right" w:pos="8505"/>
        </w:tabs>
        <w:rPr>
          <w:b/>
          <w:u w:val="single"/>
        </w:rPr>
      </w:pPr>
    </w:p>
    <w:p w:rsidR="00A673E7" w:rsidRDefault="006F4462" w:rsidP="00A673E7">
      <w:pPr>
        <w:tabs>
          <w:tab w:val="left" w:pos="1985"/>
          <w:tab w:val="left" w:pos="4536"/>
          <w:tab w:val="right" w:pos="8505"/>
        </w:tabs>
      </w:pPr>
      <w:r>
        <w:t xml:space="preserve">Die o. g. Planstellen haben einen </w:t>
      </w:r>
      <w:r w:rsidR="002C29DC">
        <w:t>KW</w:t>
      </w:r>
      <w:r>
        <w:t>-Vermerk erhalten, da im Gutachten zur Organis</w:t>
      </w:r>
      <w:r>
        <w:t>a</w:t>
      </w:r>
      <w:r>
        <w:t>tionsuntersuchung (OU) Bauverwaltung (</w:t>
      </w:r>
      <w:proofErr w:type="spellStart"/>
      <w:r>
        <w:t>GRDrs</w:t>
      </w:r>
      <w:proofErr w:type="spellEnd"/>
      <w:r>
        <w:t xml:space="preserve"> 624/2005) davon ausgegangen wurde, dass die Bewirtschaftung von Parkhäusern durch externe Firmen (Outsourcing) günst</w:t>
      </w:r>
      <w:r>
        <w:t>i</w:t>
      </w:r>
      <w:r w:rsidR="00A673E7">
        <w:t xml:space="preserve">ger ist. </w:t>
      </w:r>
      <w:r>
        <w:t xml:space="preserve">Im April 2009 wurde der Grundsatzbeschluss zur Neugestaltung des Areals an der Eichstraße (Rathausgarage) auf der Grundlage der </w:t>
      </w:r>
      <w:proofErr w:type="spellStart"/>
      <w:r>
        <w:t>GRDrs</w:t>
      </w:r>
      <w:proofErr w:type="spellEnd"/>
      <w:r>
        <w:t xml:space="preserve"> 128/2009 gefasst. D</w:t>
      </w:r>
      <w:r>
        <w:t>a</w:t>
      </w:r>
      <w:r>
        <w:t>bei wurde festgestellt, dass eine Ausgliederung der dort künftig vorgesehenen Parki</w:t>
      </w:r>
      <w:r>
        <w:t>e</w:t>
      </w:r>
      <w:r>
        <w:t>rungsanlagen für die Stadt keinen wirtschaftlichen Vorteil erbringen würde und deshalb deren Bewirtschaftung weiterhin durc</w:t>
      </w:r>
      <w:r w:rsidR="00A673E7">
        <w:t>h das Tiefbauamt erfolgen soll.</w:t>
      </w:r>
    </w:p>
    <w:p w:rsidR="006F4462" w:rsidRDefault="006F4462" w:rsidP="006F4462">
      <w:pPr>
        <w:tabs>
          <w:tab w:val="left" w:pos="1985"/>
          <w:tab w:val="left" w:pos="4536"/>
          <w:tab w:val="right" w:pos="8505"/>
        </w:tabs>
      </w:pPr>
    </w:p>
    <w:p w:rsidR="006A102C" w:rsidRDefault="006A102C" w:rsidP="006F4462">
      <w:pPr>
        <w:tabs>
          <w:tab w:val="left" w:pos="1985"/>
          <w:tab w:val="left" w:pos="4536"/>
          <w:tab w:val="right" w:pos="8505"/>
        </w:tabs>
      </w:pPr>
      <w:r>
        <w:t>Nach dem Projektbeschluss (</w:t>
      </w:r>
      <w:proofErr w:type="spellStart"/>
      <w:r>
        <w:t>GRDrs</w:t>
      </w:r>
      <w:proofErr w:type="spellEnd"/>
      <w:r>
        <w:t xml:space="preserve"> 472/2013) wurden die weiteren Planungsarbeiten zur</w:t>
      </w:r>
      <w:r w:rsidR="001F36B1">
        <w:t xml:space="preserve"> Neugestaltung des Areals an der Eichstraße</w:t>
      </w:r>
      <w:r>
        <w:t xml:space="preserve"> vergeben. Der Abriss der Rathausg</w:t>
      </w:r>
      <w:r>
        <w:t>a</w:t>
      </w:r>
      <w:r>
        <w:t>rage ist für Frühjahr 2016 geplant. Bis zur tatsächlichen</w:t>
      </w:r>
      <w:r w:rsidR="006F4462">
        <w:t xml:space="preserve"> Schließung ist der ordnung</w:t>
      </w:r>
      <w:r w:rsidR="006F4462">
        <w:t>s</w:t>
      </w:r>
      <w:r w:rsidR="006F4462">
        <w:t>gemäße Betrieb sicherzu</w:t>
      </w:r>
      <w:r>
        <w:t xml:space="preserve">stellen, weshalb die Verlängerung </w:t>
      </w:r>
      <w:r w:rsidR="006F4462">
        <w:t xml:space="preserve">der o. g. Vermerke „künftig wegfallend“ </w:t>
      </w:r>
      <w:r>
        <w:t>auf 01/2017 angezeigt ist. Die Stellen sollen zum Stellenplan 2017 gestr</w:t>
      </w:r>
      <w:r>
        <w:t>i</w:t>
      </w:r>
      <w:r>
        <w:t>chen werden.</w:t>
      </w:r>
      <w:r w:rsidR="00D40401">
        <w:t xml:space="preserve"> Rechtzeitig zur Neueröffnung und abhängig vom künftigen Betriebsko</w:t>
      </w:r>
      <w:r w:rsidR="00D40401">
        <w:t>n</w:t>
      </w:r>
      <w:r w:rsidR="00D40401">
        <w:t>zept werden zu ge</w:t>
      </w:r>
      <w:r w:rsidR="006C1BA2">
        <w:t>gebener</w:t>
      </w:r>
      <w:r w:rsidR="00D40401">
        <w:t xml:space="preserve"> Zeit die dann erforderlichen Stellen neu zur Schaffung bea</w:t>
      </w:r>
      <w:r w:rsidR="00D40401">
        <w:t>n</w:t>
      </w:r>
      <w:r w:rsidR="00D40401">
        <w:t>tragt.</w:t>
      </w:r>
    </w:p>
    <w:p w:rsidR="00465937" w:rsidRDefault="00465937" w:rsidP="006F4462">
      <w:pPr>
        <w:tabs>
          <w:tab w:val="left" w:pos="1985"/>
          <w:tab w:val="left" w:pos="4536"/>
          <w:tab w:val="right" w:pos="8505"/>
        </w:tabs>
      </w:pPr>
    </w:p>
    <w:p w:rsidR="00465937" w:rsidRDefault="00465937" w:rsidP="006F4462">
      <w:pPr>
        <w:tabs>
          <w:tab w:val="left" w:pos="1985"/>
          <w:tab w:val="left" w:pos="4536"/>
          <w:tab w:val="right" w:pos="8505"/>
        </w:tabs>
      </w:pPr>
      <w:r>
        <w:t xml:space="preserve">Für das Personal der Rathausgarage werden </w:t>
      </w:r>
      <w:r w:rsidR="00DE4C11">
        <w:t>derzeit</w:t>
      </w:r>
      <w:r>
        <w:t xml:space="preserve"> neue bzw. interimsweise Einsat</w:t>
      </w:r>
      <w:r>
        <w:t>z</w:t>
      </w:r>
      <w:r>
        <w:t>möglic</w:t>
      </w:r>
      <w:r w:rsidR="00DE4C11">
        <w:t xml:space="preserve">hkeiten bis zur Wiedereröffnung geprüft und vorbereitet. </w:t>
      </w:r>
      <w:r>
        <w:t>So ist u. a. auch der Einsatz beim Parkraummanagement, für das neue Stellen geschaffen werden, vorg</w:t>
      </w:r>
      <w:r>
        <w:t>e</w:t>
      </w:r>
      <w:r>
        <w:t xml:space="preserve">sehen. Der Verwaltung ist es ein Anliegen, auch den Mitarbeitern mit befristeten </w:t>
      </w:r>
      <w:r w:rsidR="006C1BA2">
        <w:t>A</w:t>
      </w:r>
      <w:r w:rsidR="006C1BA2">
        <w:t>r</w:t>
      </w:r>
      <w:r w:rsidR="006C1BA2">
        <w:t>beitsv</w:t>
      </w:r>
      <w:r>
        <w:t>erträgen die durchgängige Weiterbe</w:t>
      </w:r>
      <w:r w:rsidR="00DE4C11">
        <w:t>schäftigung zu ermöglichen.</w:t>
      </w:r>
      <w:r>
        <w:t xml:space="preserve"> </w:t>
      </w:r>
    </w:p>
    <w:sectPr w:rsidR="00465937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37" w:rsidRDefault="00465937">
      <w:r>
        <w:separator/>
      </w:r>
    </w:p>
  </w:endnote>
  <w:endnote w:type="continuationSeparator" w:id="0">
    <w:p w:rsidR="00465937" w:rsidRDefault="0046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37" w:rsidRDefault="00465937">
      <w:r>
        <w:separator/>
      </w:r>
    </w:p>
  </w:footnote>
  <w:footnote w:type="continuationSeparator" w:id="0">
    <w:p w:rsidR="00465937" w:rsidRDefault="0046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937" w:rsidRDefault="0046593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46D8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46D86">
      <w:rPr>
        <w:rStyle w:val="Seitenzahl"/>
      </w:rPr>
      <w:fldChar w:fldCharType="separate"/>
    </w:r>
    <w:r>
      <w:rPr>
        <w:rStyle w:val="Seitenzahl"/>
        <w:noProof/>
      </w:rPr>
      <w:t>2</w:t>
    </w:r>
    <w:r w:rsidR="00946D86">
      <w:rPr>
        <w:rStyle w:val="Seitenzahl"/>
      </w:rPr>
      <w:fldChar w:fldCharType="end"/>
    </w:r>
    <w:r>
      <w:rPr>
        <w:rStyle w:val="Seitenzahl"/>
      </w:rPr>
      <w:t xml:space="preserve"> -</w:t>
    </w:r>
  </w:p>
  <w:p w:rsidR="00465937" w:rsidRDefault="0046593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23CA3A27"/>
    <w:multiLevelType w:val="hybridMultilevel"/>
    <w:tmpl w:val="73529BD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SpBfAfterPgBrk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DEF"/>
    <w:rsid w:val="00024802"/>
    <w:rsid w:val="00034441"/>
    <w:rsid w:val="00051A93"/>
    <w:rsid w:val="000A1146"/>
    <w:rsid w:val="00153C22"/>
    <w:rsid w:val="00153F44"/>
    <w:rsid w:val="00165C0D"/>
    <w:rsid w:val="00181578"/>
    <w:rsid w:val="00181857"/>
    <w:rsid w:val="00193A16"/>
    <w:rsid w:val="001F36B1"/>
    <w:rsid w:val="00211C29"/>
    <w:rsid w:val="00213C7A"/>
    <w:rsid w:val="00263F7F"/>
    <w:rsid w:val="002812E4"/>
    <w:rsid w:val="002924CB"/>
    <w:rsid w:val="002B7A41"/>
    <w:rsid w:val="002C29DC"/>
    <w:rsid w:val="002C2ECA"/>
    <w:rsid w:val="002D6869"/>
    <w:rsid w:val="002E14E4"/>
    <w:rsid w:val="002E442C"/>
    <w:rsid w:val="003B4312"/>
    <w:rsid w:val="003B689B"/>
    <w:rsid w:val="003C10E2"/>
    <w:rsid w:val="003D7B0B"/>
    <w:rsid w:val="004054DF"/>
    <w:rsid w:val="00436B6D"/>
    <w:rsid w:val="00451424"/>
    <w:rsid w:val="00465937"/>
    <w:rsid w:val="00497F3D"/>
    <w:rsid w:val="004B6796"/>
    <w:rsid w:val="004F4393"/>
    <w:rsid w:val="0050276D"/>
    <w:rsid w:val="00503820"/>
    <w:rsid w:val="005A4B15"/>
    <w:rsid w:val="00635034"/>
    <w:rsid w:val="00685FAF"/>
    <w:rsid w:val="00694161"/>
    <w:rsid w:val="006A102C"/>
    <w:rsid w:val="006C1BA2"/>
    <w:rsid w:val="006E0575"/>
    <w:rsid w:val="006F4462"/>
    <w:rsid w:val="00723653"/>
    <w:rsid w:val="007426DF"/>
    <w:rsid w:val="00757600"/>
    <w:rsid w:val="0079312E"/>
    <w:rsid w:val="007A6796"/>
    <w:rsid w:val="007B57B1"/>
    <w:rsid w:val="008171EE"/>
    <w:rsid w:val="008201EB"/>
    <w:rsid w:val="008308A7"/>
    <w:rsid w:val="00884D6C"/>
    <w:rsid w:val="00946D86"/>
    <w:rsid w:val="009922AC"/>
    <w:rsid w:val="00994602"/>
    <w:rsid w:val="00A0399F"/>
    <w:rsid w:val="00A30C33"/>
    <w:rsid w:val="00A34898"/>
    <w:rsid w:val="00A509C5"/>
    <w:rsid w:val="00A673E7"/>
    <w:rsid w:val="00A77F1E"/>
    <w:rsid w:val="00AE10D7"/>
    <w:rsid w:val="00B04290"/>
    <w:rsid w:val="00B40F65"/>
    <w:rsid w:val="00B53933"/>
    <w:rsid w:val="00B66C18"/>
    <w:rsid w:val="00B80DEF"/>
    <w:rsid w:val="00C074C7"/>
    <w:rsid w:val="00C448D3"/>
    <w:rsid w:val="00C83AF4"/>
    <w:rsid w:val="00C91E57"/>
    <w:rsid w:val="00CD2B8D"/>
    <w:rsid w:val="00CE4F70"/>
    <w:rsid w:val="00D24277"/>
    <w:rsid w:val="00D32B09"/>
    <w:rsid w:val="00D37B9F"/>
    <w:rsid w:val="00D40401"/>
    <w:rsid w:val="00D46290"/>
    <w:rsid w:val="00D85EA0"/>
    <w:rsid w:val="00DE4C11"/>
    <w:rsid w:val="00E1162F"/>
    <w:rsid w:val="00E11D5F"/>
    <w:rsid w:val="00E12D47"/>
    <w:rsid w:val="00E24A6A"/>
    <w:rsid w:val="00E374FA"/>
    <w:rsid w:val="00E64A5A"/>
    <w:rsid w:val="00E94B45"/>
    <w:rsid w:val="00EF4BCB"/>
    <w:rsid w:val="00F27657"/>
    <w:rsid w:val="00F3775A"/>
    <w:rsid w:val="00F97635"/>
    <w:rsid w:val="00FC1BAA"/>
    <w:rsid w:val="00FD3367"/>
    <w:rsid w:val="00FE4615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153C2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53C2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53C22"/>
    <w:rPr>
      <w:sz w:val="16"/>
    </w:rPr>
  </w:style>
  <w:style w:type="paragraph" w:styleId="Kommentartext">
    <w:name w:val="annotation text"/>
    <w:basedOn w:val="Standard"/>
    <w:semiHidden/>
    <w:rsid w:val="00153C22"/>
    <w:rPr>
      <w:sz w:val="20"/>
    </w:rPr>
  </w:style>
  <w:style w:type="paragraph" w:styleId="Fuzeile">
    <w:name w:val="footer"/>
    <w:basedOn w:val="Standard"/>
    <w:rsid w:val="00153C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53C2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LHS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2012/2013</dc:subject>
  <dc:creator>10-3</dc:creator>
  <cp:keywords/>
  <cp:lastModifiedBy>U103007</cp:lastModifiedBy>
  <cp:revision>5</cp:revision>
  <cp:lastPrinted>2015-09-23T14:37:00Z</cp:lastPrinted>
  <dcterms:created xsi:type="dcterms:W3CDTF">2015-09-18T16:07:00Z</dcterms:created>
  <dcterms:modified xsi:type="dcterms:W3CDTF">2015-09-23T14:37:00Z</dcterms:modified>
</cp:coreProperties>
</file>