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534F93">
        <w:rPr>
          <w:szCs w:val="24"/>
        </w:rPr>
        <w:t>15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534F93">
        <w:rPr>
          <w:szCs w:val="24"/>
        </w:rPr>
        <w:t>798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B60F2D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Verlängerung einer </w:t>
      </w:r>
      <w:r w:rsidR="0042414D">
        <w:rPr>
          <w:b/>
          <w:sz w:val="36"/>
          <w:u w:val="single"/>
        </w:rPr>
        <w:t>Ermächtigung</w:t>
      </w:r>
      <w:r w:rsidR="00534F93">
        <w:rPr>
          <w:b/>
          <w:sz w:val="36"/>
          <w:u w:val="single"/>
        </w:rPr>
        <w:t xml:space="preserve"> </w:t>
      </w:r>
    </w:p>
    <w:p w:rsidR="00534F93" w:rsidRDefault="00534F93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zur Einstellung von Personal</w:t>
      </w:r>
    </w:p>
    <w:p w:rsidR="003D7B0B" w:rsidRDefault="00534F93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außerhalb des Stellenplans</w:t>
      </w:r>
    </w:p>
    <w:p w:rsidR="003D7B0B" w:rsidRDefault="003D7B0B" w:rsidP="006E0575">
      <w:pPr>
        <w:rPr>
          <w:u w:val="single"/>
        </w:rPr>
      </w:pPr>
    </w:p>
    <w:p w:rsidR="00534F93" w:rsidRDefault="00534F93" w:rsidP="006E0575">
      <w:pPr>
        <w:rPr>
          <w:u w:val="single"/>
        </w:rPr>
      </w:pPr>
    </w:p>
    <w:p w:rsidR="00534F93" w:rsidRDefault="00534F93" w:rsidP="006E0575">
      <w:pPr>
        <w:rPr>
          <w:u w:val="single"/>
        </w:rPr>
      </w:pPr>
    </w:p>
    <w:tbl>
      <w:tblPr>
        <w:tblpPr w:leftFromText="141" w:rightFromText="141" w:vertAnchor="text" w:horzAnchor="margin" w:tblpY="120"/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645"/>
        <w:gridCol w:w="1701"/>
        <w:gridCol w:w="1134"/>
        <w:gridCol w:w="992"/>
        <w:gridCol w:w="1417"/>
        <w:gridCol w:w="1985"/>
      </w:tblGrid>
      <w:tr w:rsidR="00B60F2D" w:rsidRPr="006E0575" w:rsidTr="00534F93">
        <w:trPr>
          <w:cantSplit/>
          <w:tblHeader/>
        </w:trPr>
        <w:tc>
          <w:tcPr>
            <w:tcW w:w="1645" w:type="dxa"/>
            <w:shd w:val="pct12" w:color="auto" w:fill="FFFFFF"/>
            <w:vAlign w:val="center"/>
          </w:tcPr>
          <w:p w:rsidR="00B60F2D" w:rsidRPr="00262264" w:rsidRDefault="00B60F2D" w:rsidP="00534F93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Org.-Einheit</w:t>
            </w:r>
            <w:r w:rsidRPr="00262264">
              <w:rPr>
                <w:sz w:val="20"/>
              </w:rPr>
              <w:br/>
              <w:t xml:space="preserve">(aut. </w:t>
            </w:r>
            <w:proofErr w:type="spellStart"/>
            <w:r w:rsidRPr="00262264">
              <w:rPr>
                <w:sz w:val="20"/>
              </w:rPr>
              <w:t>Stpl</w:t>
            </w:r>
            <w:proofErr w:type="spellEnd"/>
            <w:r w:rsidRPr="00262264">
              <w:rPr>
                <w:sz w:val="20"/>
              </w:rPr>
              <w:t>.),</w:t>
            </w:r>
          </w:p>
          <w:p w:rsidR="00B60F2D" w:rsidRPr="00262264" w:rsidRDefault="00B60F2D" w:rsidP="00534F93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B60F2D" w:rsidRPr="00262264" w:rsidRDefault="00B60F2D" w:rsidP="00534F93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Amt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B60F2D" w:rsidRPr="00262264" w:rsidRDefault="00B60F2D" w:rsidP="00534F93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proofErr w:type="spellStart"/>
            <w:r w:rsidRPr="00262264">
              <w:rPr>
                <w:sz w:val="20"/>
              </w:rPr>
              <w:t>BesGr</w:t>
            </w:r>
            <w:proofErr w:type="spellEnd"/>
            <w:r w:rsidRPr="00262264">
              <w:rPr>
                <w:sz w:val="20"/>
              </w:rPr>
              <w:t>.</w:t>
            </w:r>
          </w:p>
          <w:p w:rsidR="00B60F2D" w:rsidRPr="00262264" w:rsidRDefault="00B60F2D" w:rsidP="00534F93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oder</w:t>
            </w:r>
          </w:p>
          <w:p w:rsidR="00B60F2D" w:rsidRPr="00262264" w:rsidRDefault="00B60F2D" w:rsidP="00534F93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EG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B60F2D" w:rsidRPr="00262264" w:rsidRDefault="00B60F2D" w:rsidP="00534F93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Funktions</w:t>
            </w:r>
            <w:r>
              <w:rPr>
                <w:sz w:val="20"/>
              </w:rPr>
              <w:t>-</w:t>
            </w:r>
            <w:proofErr w:type="spellStart"/>
            <w:r w:rsidRPr="00262264">
              <w:rPr>
                <w:sz w:val="20"/>
              </w:rPr>
              <w:t>bezeic</w:t>
            </w:r>
            <w:r w:rsidRPr="00262264">
              <w:rPr>
                <w:sz w:val="20"/>
              </w:rPr>
              <w:t>h</w:t>
            </w:r>
            <w:r w:rsidRPr="00262264">
              <w:rPr>
                <w:sz w:val="20"/>
              </w:rPr>
              <w:t>nung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60F2D" w:rsidRPr="00262264" w:rsidRDefault="00534F93" w:rsidP="00534F93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Umfang</w:t>
            </w:r>
          </w:p>
        </w:tc>
        <w:tc>
          <w:tcPr>
            <w:tcW w:w="1985" w:type="dxa"/>
            <w:shd w:val="pct12" w:color="auto" w:fill="FFFFFF"/>
            <w:vAlign w:val="center"/>
          </w:tcPr>
          <w:p w:rsidR="00534F93" w:rsidRDefault="00534F93" w:rsidP="00534F93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durchschnittl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jährl</w:t>
            </w:r>
            <w:proofErr w:type="spellEnd"/>
            <w:r>
              <w:rPr>
                <w:sz w:val="20"/>
              </w:rPr>
              <w:t>. kostenwirksamer Aufwand</w:t>
            </w:r>
          </w:p>
          <w:p w:rsidR="00534F93" w:rsidRPr="00262264" w:rsidRDefault="00534F93" w:rsidP="00534F93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B60F2D" w:rsidRPr="006E0575" w:rsidTr="00B60F2D">
        <w:tc>
          <w:tcPr>
            <w:tcW w:w="1645" w:type="dxa"/>
          </w:tcPr>
          <w:p w:rsidR="00B60F2D" w:rsidRDefault="00B60F2D" w:rsidP="00B60F2D">
            <w:pPr>
              <w:rPr>
                <w:sz w:val="20"/>
              </w:rPr>
            </w:pPr>
          </w:p>
          <w:p w:rsidR="00B60F2D" w:rsidRDefault="00B60F2D" w:rsidP="00B60F2D">
            <w:pPr>
              <w:rPr>
                <w:sz w:val="20"/>
              </w:rPr>
            </w:pPr>
            <w:r>
              <w:rPr>
                <w:sz w:val="20"/>
              </w:rPr>
              <w:t>40-2</w:t>
            </w:r>
          </w:p>
          <w:p w:rsidR="00B60F2D" w:rsidRDefault="00B60F2D" w:rsidP="00B60F2D">
            <w:pPr>
              <w:rPr>
                <w:sz w:val="20"/>
              </w:rPr>
            </w:pPr>
          </w:p>
          <w:p w:rsidR="00B60F2D" w:rsidRPr="006E0575" w:rsidRDefault="00B60F2D" w:rsidP="00B60F2D">
            <w:pPr>
              <w:rPr>
                <w:sz w:val="20"/>
              </w:rPr>
            </w:pPr>
            <w:r>
              <w:rPr>
                <w:sz w:val="20"/>
              </w:rPr>
              <w:t>KST 40216000</w:t>
            </w:r>
          </w:p>
        </w:tc>
        <w:tc>
          <w:tcPr>
            <w:tcW w:w="1701" w:type="dxa"/>
          </w:tcPr>
          <w:p w:rsidR="00B60F2D" w:rsidRDefault="00B60F2D" w:rsidP="00B60F2D">
            <w:pPr>
              <w:rPr>
                <w:sz w:val="20"/>
              </w:rPr>
            </w:pPr>
          </w:p>
          <w:p w:rsidR="00B60F2D" w:rsidRPr="006E0575" w:rsidRDefault="00B60F2D" w:rsidP="00C93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Schulverwa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tungsamt</w:t>
            </w:r>
          </w:p>
        </w:tc>
        <w:tc>
          <w:tcPr>
            <w:tcW w:w="1134" w:type="dxa"/>
          </w:tcPr>
          <w:p w:rsidR="00B60F2D" w:rsidRDefault="00B60F2D" w:rsidP="00B60F2D">
            <w:pPr>
              <w:jc w:val="center"/>
              <w:rPr>
                <w:sz w:val="20"/>
              </w:rPr>
            </w:pPr>
          </w:p>
          <w:p w:rsidR="00B60F2D" w:rsidRPr="006E0575" w:rsidRDefault="00B60F2D" w:rsidP="00B60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992" w:type="dxa"/>
          </w:tcPr>
          <w:p w:rsidR="00B60F2D" w:rsidRDefault="00B60F2D" w:rsidP="00B60F2D">
            <w:pPr>
              <w:rPr>
                <w:sz w:val="20"/>
              </w:rPr>
            </w:pPr>
          </w:p>
          <w:p w:rsidR="00B60F2D" w:rsidRPr="006E0575" w:rsidRDefault="00B60F2D" w:rsidP="00B60F2D">
            <w:pPr>
              <w:rPr>
                <w:sz w:val="20"/>
              </w:rPr>
            </w:pPr>
            <w:r>
              <w:rPr>
                <w:sz w:val="20"/>
              </w:rPr>
              <w:t>SB</w:t>
            </w:r>
          </w:p>
        </w:tc>
        <w:tc>
          <w:tcPr>
            <w:tcW w:w="1417" w:type="dxa"/>
            <w:shd w:val="clear" w:color="auto" w:fill="auto"/>
          </w:tcPr>
          <w:p w:rsidR="00B60F2D" w:rsidRDefault="00B60F2D" w:rsidP="00B60F2D">
            <w:pPr>
              <w:jc w:val="center"/>
              <w:rPr>
                <w:sz w:val="20"/>
              </w:rPr>
            </w:pPr>
          </w:p>
          <w:p w:rsidR="00B60F2D" w:rsidRPr="00CB0210" w:rsidRDefault="00B60F2D" w:rsidP="00B60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85" w:type="dxa"/>
          </w:tcPr>
          <w:p w:rsidR="00B60F2D" w:rsidRDefault="00B60F2D" w:rsidP="00B60F2D">
            <w:pPr>
              <w:jc w:val="center"/>
              <w:rPr>
                <w:sz w:val="20"/>
              </w:rPr>
            </w:pPr>
          </w:p>
          <w:p w:rsidR="00B60F2D" w:rsidRPr="006E0575" w:rsidRDefault="00534F93" w:rsidP="00B60F2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</w:tbl>
    <w:p w:rsidR="0009182A" w:rsidRDefault="0009182A" w:rsidP="006E0575">
      <w:pPr>
        <w:rPr>
          <w:u w:val="single"/>
        </w:rPr>
      </w:pPr>
    </w:p>
    <w:p w:rsidR="0009182A" w:rsidRPr="00E42F96" w:rsidRDefault="0009182A" w:rsidP="006E0575">
      <w:pPr>
        <w:rPr>
          <w:u w:val="single"/>
        </w:rPr>
      </w:pPr>
    </w:p>
    <w:p w:rsidR="003D7B0B" w:rsidRDefault="003D7B0B" w:rsidP="00884D6C"/>
    <w:p w:rsidR="0009182A" w:rsidRDefault="0009182A" w:rsidP="00884D6C"/>
    <w:p w:rsidR="00B60F2D" w:rsidRDefault="00B60F2D" w:rsidP="00884D6C">
      <w:pPr>
        <w:rPr>
          <w:b/>
        </w:rPr>
      </w:pPr>
    </w:p>
    <w:p w:rsidR="00B60F2D" w:rsidRDefault="00B60F2D" w:rsidP="00884D6C">
      <w:pPr>
        <w:rPr>
          <w:b/>
        </w:rPr>
      </w:pPr>
    </w:p>
    <w:p w:rsidR="00B60F2D" w:rsidRDefault="00B60F2D" w:rsidP="00884D6C">
      <w:pPr>
        <w:rPr>
          <w:b/>
        </w:rPr>
      </w:pPr>
    </w:p>
    <w:p w:rsidR="00B60F2D" w:rsidRDefault="00B60F2D" w:rsidP="00884D6C">
      <w:pPr>
        <w:rPr>
          <w:b/>
        </w:rPr>
      </w:pPr>
    </w:p>
    <w:p w:rsidR="00B60F2D" w:rsidRDefault="00B60F2D" w:rsidP="00884D6C">
      <w:pPr>
        <w:rPr>
          <w:b/>
        </w:rPr>
      </w:pPr>
    </w:p>
    <w:p w:rsidR="00B60F2D" w:rsidRDefault="00B60F2D" w:rsidP="00884D6C">
      <w:pPr>
        <w:rPr>
          <w:b/>
        </w:rPr>
      </w:pPr>
    </w:p>
    <w:p w:rsidR="0009182A" w:rsidRDefault="0009182A" w:rsidP="00884D6C">
      <w:pPr>
        <w:rPr>
          <w:b/>
        </w:rPr>
      </w:pPr>
      <w:r w:rsidRPr="0009182A">
        <w:rPr>
          <w:b/>
        </w:rPr>
        <w:t>Begründung</w:t>
      </w:r>
    </w:p>
    <w:p w:rsidR="00B60F2D" w:rsidRPr="0009182A" w:rsidRDefault="00B60F2D" w:rsidP="00884D6C">
      <w:pPr>
        <w:rPr>
          <w:b/>
        </w:rPr>
      </w:pPr>
    </w:p>
    <w:p w:rsidR="00B60F2D" w:rsidRDefault="00534F93" w:rsidP="00B60F2D">
      <w:r>
        <w:t>Das Schulverwaltungsamt ist</w:t>
      </w:r>
      <w:r w:rsidR="006C0E29">
        <w:t>,</w:t>
      </w:r>
      <w:r>
        <w:t xml:space="preserve"> befristet bis 31.12.2015</w:t>
      </w:r>
      <w:r w:rsidR="006C0E29">
        <w:t>,</w:t>
      </w:r>
      <w:r>
        <w:t xml:space="preserve"> ermächtigt</w:t>
      </w:r>
      <w:r w:rsidR="003822DC">
        <w:t>,</w:t>
      </w:r>
      <w:r>
        <w:t xml:space="preserve"> außerhalb des Ste</w:t>
      </w:r>
      <w:r>
        <w:t>l</w:t>
      </w:r>
      <w:r>
        <w:t xml:space="preserve">lenplans bis </w:t>
      </w:r>
      <w:r w:rsidR="00E5286C">
        <w:t xml:space="preserve">zu </w:t>
      </w:r>
      <w:r>
        <w:t>1,0 Vollzeitkraft in EG 11 zu beschäftigen für die konzeptionelle Ber</w:t>
      </w:r>
      <w:r>
        <w:t>a</w:t>
      </w:r>
      <w:r>
        <w:t xml:space="preserve">tung und Begleitung </w:t>
      </w:r>
      <w:r w:rsidR="00F12B05">
        <w:t xml:space="preserve">von </w:t>
      </w:r>
      <w:r w:rsidR="008C3AEA">
        <w:t>Schulen auf dem Weg zur</w:t>
      </w:r>
      <w:r>
        <w:t xml:space="preserve"> Gemeinschaftsschule</w:t>
      </w:r>
      <w:r w:rsidR="008C3AEA">
        <w:t xml:space="preserve"> (</w:t>
      </w:r>
      <w:proofErr w:type="spellStart"/>
      <w:r w:rsidR="008C3AEA">
        <w:t>GRDrs</w:t>
      </w:r>
      <w:proofErr w:type="spellEnd"/>
      <w:r w:rsidR="008C3AEA">
        <w:t xml:space="preserve"> </w:t>
      </w:r>
      <w:r w:rsidR="00E5286C">
        <w:t>881/2013</w:t>
      </w:r>
      <w:r w:rsidR="008C3AEA">
        <w:t>)</w:t>
      </w:r>
      <w:r>
        <w:t>.</w:t>
      </w:r>
      <w:r w:rsidR="008C3AEA">
        <w:t xml:space="preserve"> Die Personalkosten konnten aus Restmitteln des Qualitätsentwicklung</w:t>
      </w:r>
      <w:r w:rsidR="008C3AEA">
        <w:t>s</w:t>
      </w:r>
      <w:r w:rsidR="008C3AEA">
        <w:t>fonds finanziert werden.</w:t>
      </w:r>
    </w:p>
    <w:p w:rsidR="008C3AEA" w:rsidRDefault="008C3AEA" w:rsidP="00B60F2D"/>
    <w:p w:rsidR="008C3AEA" w:rsidRDefault="008C3AEA" w:rsidP="00B60F2D">
      <w:pPr>
        <w:rPr>
          <w:color w:val="000000"/>
        </w:rPr>
      </w:pPr>
      <w:r>
        <w:rPr>
          <w:color w:val="000000"/>
        </w:rPr>
        <w:t>Der Beratungsbedarf der Schulen auf dem Weg zur Gemeinschaftsschule hält unve</w:t>
      </w:r>
      <w:r>
        <w:rPr>
          <w:color w:val="000000"/>
        </w:rPr>
        <w:t>r</w:t>
      </w:r>
      <w:r>
        <w:rPr>
          <w:color w:val="000000"/>
        </w:rPr>
        <w:t>mindert an. Sie sind im Vorfeld des Antragsverfahren, während der Antragstellung s</w:t>
      </w:r>
      <w:r>
        <w:rPr>
          <w:color w:val="000000"/>
        </w:rPr>
        <w:t>o</w:t>
      </w:r>
      <w:r>
        <w:rPr>
          <w:color w:val="000000"/>
        </w:rPr>
        <w:t>wie vor allem bei der Umsetzung der pädagogischen Vorstellungen in Raumkonzepti</w:t>
      </w:r>
      <w:r>
        <w:rPr>
          <w:color w:val="000000"/>
        </w:rPr>
        <w:t>o</w:t>
      </w:r>
      <w:r>
        <w:rPr>
          <w:color w:val="000000"/>
        </w:rPr>
        <w:t>nen zu begleiten.</w:t>
      </w:r>
      <w:r w:rsidRPr="008C3AEA">
        <w:rPr>
          <w:color w:val="000000"/>
        </w:rPr>
        <w:t xml:space="preserve"> </w:t>
      </w:r>
      <w:r>
        <w:rPr>
          <w:color w:val="000000"/>
        </w:rPr>
        <w:t>In der gesamten Schulgemeinde besteht ein hohes Interesse, in den Planungsprozess einbezogen zu werden.</w:t>
      </w:r>
    </w:p>
    <w:p w:rsidR="008C3AEA" w:rsidRDefault="008C3AEA" w:rsidP="00B60F2D">
      <w:pPr>
        <w:rPr>
          <w:color w:val="000000"/>
        </w:rPr>
      </w:pPr>
    </w:p>
    <w:p w:rsidR="00B60F2D" w:rsidRDefault="008C3AEA" w:rsidP="00B60F2D">
      <w:r>
        <w:t xml:space="preserve">Mit Stand </w:t>
      </w:r>
      <w:r w:rsidR="00BA01DB" w:rsidRPr="00C93A03">
        <w:t xml:space="preserve">September 2015 </w:t>
      </w:r>
      <w:r w:rsidR="00B60F2D" w:rsidRPr="00C93A03">
        <w:t xml:space="preserve">sind bereits </w:t>
      </w:r>
      <w:r w:rsidR="00BA01DB" w:rsidRPr="00C93A03">
        <w:t xml:space="preserve">sechs </w:t>
      </w:r>
      <w:r w:rsidR="00B60F2D" w:rsidRPr="00C93A03">
        <w:t xml:space="preserve">Gemeinschaftsschulen in Betrieb, </w:t>
      </w:r>
      <w:r>
        <w:t xml:space="preserve">die </w:t>
      </w:r>
      <w:r w:rsidR="00B60F2D" w:rsidRPr="00C93A03">
        <w:t xml:space="preserve">Anträge für die Einrichtung von zwei weiteren Gemeinschaftsschulen beim Land </w:t>
      </w:r>
      <w:r>
        <w:t xml:space="preserve">sind </w:t>
      </w:r>
      <w:r w:rsidR="00B60F2D" w:rsidRPr="00C93A03">
        <w:t>gestellt.</w:t>
      </w:r>
      <w:r>
        <w:t xml:space="preserve"> </w:t>
      </w:r>
      <w:r w:rsidR="00B60F2D" w:rsidRPr="005B6A2D">
        <w:t>14 weitere</w:t>
      </w:r>
      <w:r w:rsidR="00B60F2D">
        <w:rPr>
          <w:color w:val="FF0000"/>
        </w:rPr>
        <w:t xml:space="preserve"> </w:t>
      </w:r>
      <w:r w:rsidR="00B60F2D">
        <w:t>Schulen haben Interesse an dem Konzept der Gemeinschaftsschule und werden durch verschiedenste Unterstützungsleistungen des Schulverwaltungsamts betreu</w:t>
      </w:r>
      <w:r>
        <w:t>t.</w:t>
      </w:r>
    </w:p>
    <w:p w:rsidR="008C3AEA" w:rsidRDefault="008C3AEA" w:rsidP="00B60F2D"/>
    <w:p w:rsidR="00B60F2D" w:rsidRDefault="008C3AEA" w:rsidP="00B60F2D">
      <w:pPr>
        <w:rPr>
          <w:color w:val="000000"/>
        </w:rPr>
      </w:pPr>
      <w:r>
        <w:rPr>
          <w:color w:val="000000"/>
        </w:rPr>
        <w:t>Die</w:t>
      </w:r>
      <w:r w:rsidR="00B60F2D">
        <w:rPr>
          <w:color w:val="000000"/>
        </w:rPr>
        <w:t xml:space="preserve"> Erfahrungen mit den ersten Schulen im laufenden Betrieb zeigen, dass das a</w:t>
      </w:r>
      <w:r w:rsidR="00B60F2D">
        <w:rPr>
          <w:color w:val="000000"/>
        </w:rPr>
        <w:t>n</w:t>
      </w:r>
      <w:r w:rsidR="00B60F2D">
        <w:rPr>
          <w:color w:val="000000"/>
        </w:rPr>
        <w:t>spruchsvolle pädagogische Konzept der Gemeinschaftsschule</w:t>
      </w:r>
      <w:r w:rsidR="006C0E29">
        <w:rPr>
          <w:color w:val="000000"/>
        </w:rPr>
        <w:t xml:space="preserve"> </w:t>
      </w:r>
      <w:r w:rsidR="00B60F2D">
        <w:rPr>
          <w:color w:val="000000"/>
        </w:rPr>
        <w:t>vor allem bezüglich ind</w:t>
      </w:r>
      <w:r w:rsidR="00B60F2D">
        <w:rPr>
          <w:color w:val="000000"/>
        </w:rPr>
        <w:t>i</w:t>
      </w:r>
      <w:r w:rsidR="00B60F2D">
        <w:rPr>
          <w:color w:val="000000"/>
        </w:rPr>
        <w:t>vidueller Lernformen, Ganztag</w:t>
      </w:r>
      <w:r>
        <w:rPr>
          <w:color w:val="000000"/>
        </w:rPr>
        <w:t>esbetreuung</w:t>
      </w:r>
      <w:r w:rsidR="00B60F2D">
        <w:rPr>
          <w:color w:val="000000"/>
        </w:rPr>
        <w:t xml:space="preserve"> und inklusiver Beschulung eine </w:t>
      </w:r>
      <w:r>
        <w:rPr>
          <w:color w:val="000000"/>
        </w:rPr>
        <w:t>länger da</w:t>
      </w:r>
      <w:r>
        <w:rPr>
          <w:color w:val="000000"/>
        </w:rPr>
        <w:t>u</w:t>
      </w:r>
      <w:r>
        <w:rPr>
          <w:color w:val="000000"/>
        </w:rPr>
        <w:t>ernde</w:t>
      </w:r>
      <w:r w:rsidR="00B60F2D">
        <w:rPr>
          <w:color w:val="000000"/>
        </w:rPr>
        <w:t xml:space="preserve"> Begleitung durch eine</w:t>
      </w:r>
      <w:r w:rsidR="006C0E29">
        <w:rPr>
          <w:color w:val="000000"/>
        </w:rPr>
        <w:t>/</w:t>
      </w:r>
      <w:r w:rsidR="00B60F2D">
        <w:rPr>
          <w:color w:val="000000"/>
        </w:rPr>
        <w:t>n Mitarbeiter/in notwendig macht. Dies gilt umso mehr, s</w:t>
      </w:r>
      <w:r w:rsidR="00B60F2D">
        <w:rPr>
          <w:color w:val="000000"/>
        </w:rPr>
        <w:t>o</w:t>
      </w:r>
      <w:r w:rsidR="00B60F2D">
        <w:rPr>
          <w:color w:val="000000"/>
        </w:rPr>
        <w:t xml:space="preserve">lange die räumliche Situation der Schulen noch nicht den </w:t>
      </w:r>
      <w:r w:rsidR="003433B3">
        <w:rPr>
          <w:color w:val="000000"/>
        </w:rPr>
        <w:t xml:space="preserve">baulichen </w:t>
      </w:r>
      <w:r w:rsidR="00B60F2D">
        <w:rPr>
          <w:color w:val="000000"/>
        </w:rPr>
        <w:t>Bedarfen einer Gemeinschaftsschule entspricht. Die Konzeption und Umsetzung räumlicher Interimss</w:t>
      </w:r>
      <w:r w:rsidR="00B60F2D">
        <w:rPr>
          <w:color w:val="000000"/>
        </w:rPr>
        <w:t>i</w:t>
      </w:r>
      <w:r w:rsidR="00B60F2D">
        <w:rPr>
          <w:color w:val="000000"/>
        </w:rPr>
        <w:t>tuationen, mit denen alle neuen Gemeinschaftsschulen mehr oder weniger konfrontiert sind, ist eine komplexe, zeitaufwändige und äußerst anspruchsvolle Aufga</w:t>
      </w:r>
      <w:r w:rsidR="003433B3">
        <w:rPr>
          <w:color w:val="000000"/>
        </w:rPr>
        <w:t>be.</w:t>
      </w:r>
    </w:p>
    <w:p w:rsidR="00B60F2D" w:rsidRDefault="00B60F2D" w:rsidP="00B60F2D">
      <w:pPr>
        <w:rPr>
          <w:color w:val="000000"/>
        </w:rPr>
      </w:pPr>
    </w:p>
    <w:p w:rsidR="00B60F2D" w:rsidRDefault="00B60F2D" w:rsidP="00B60F2D">
      <w:pPr>
        <w:rPr>
          <w:color w:val="000000"/>
        </w:rPr>
      </w:pPr>
      <w:r>
        <w:rPr>
          <w:color w:val="000000"/>
        </w:rPr>
        <w:lastRenderedPageBreak/>
        <w:t xml:space="preserve">Es ist daher zwingend </w:t>
      </w:r>
      <w:r w:rsidR="003433B3">
        <w:rPr>
          <w:color w:val="000000"/>
        </w:rPr>
        <w:t>erforderlich</w:t>
      </w:r>
      <w:r>
        <w:rPr>
          <w:color w:val="000000"/>
        </w:rPr>
        <w:t xml:space="preserve"> die Ermächtigung für weitere 4 Jahre</w:t>
      </w:r>
      <w:r w:rsidR="003433B3">
        <w:rPr>
          <w:color w:val="000000"/>
        </w:rPr>
        <w:t xml:space="preserve">, bis zum 31.12.2019 </w:t>
      </w:r>
      <w:r>
        <w:rPr>
          <w:color w:val="000000"/>
        </w:rPr>
        <w:t xml:space="preserve">zu verlängern. </w:t>
      </w:r>
    </w:p>
    <w:p w:rsidR="00B60F2D" w:rsidRPr="006E0575" w:rsidRDefault="00B60F2D" w:rsidP="00B60F2D"/>
    <w:p w:rsidR="0009182A" w:rsidRPr="000D222E" w:rsidRDefault="003433B3" w:rsidP="00884D6C">
      <w:pPr>
        <w:rPr>
          <w:color w:val="000000" w:themeColor="text1"/>
        </w:rPr>
      </w:pPr>
      <w:r w:rsidRPr="000D222E">
        <w:rPr>
          <w:color w:val="000000" w:themeColor="text1"/>
        </w:rPr>
        <w:t>D</w:t>
      </w:r>
      <w:r w:rsidR="000D222E" w:rsidRPr="000D222E">
        <w:rPr>
          <w:color w:val="000000" w:themeColor="text1"/>
        </w:rPr>
        <w:t>ie Personalkosten werden durch Restmittel des Schulverwaltungsamts sowie Mitte</w:t>
      </w:r>
      <w:r w:rsidR="000D222E" w:rsidRPr="000D222E">
        <w:rPr>
          <w:color w:val="000000" w:themeColor="text1"/>
        </w:rPr>
        <w:t>l</w:t>
      </w:r>
      <w:r w:rsidR="000D222E" w:rsidRPr="000D222E">
        <w:rPr>
          <w:color w:val="000000" w:themeColor="text1"/>
        </w:rPr>
        <w:t>übertragungen des S-</w:t>
      </w:r>
      <w:proofErr w:type="spellStart"/>
      <w:r w:rsidR="000D222E" w:rsidRPr="000D222E">
        <w:rPr>
          <w:color w:val="000000" w:themeColor="text1"/>
        </w:rPr>
        <w:t>BiP</w:t>
      </w:r>
      <w:proofErr w:type="spellEnd"/>
      <w:r w:rsidR="000D222E" w:rsidRPr="000D222E">
        <w:rPr>
          <w:color w:val="000000" w:themeColor="text1"/>
        </w:rPr>
        <w:t xml:space="preserve"> Budgets </w:t>
      </w:r>
      <w:r w:rsidRPr="000D222E">
        <w:rPr>
          <w:color w:val="000000" w:themeColor="text1"/>
        </w:rPr>
        <w:t xml:space="preserve">finanziert. Die Verlängerung der Ermächtigung ist insofern </w:t>
      </w:r>
      <w:proofErr w:type="spellStart"/>
      <w:r w:rsidRPr="000D222E">
        <w:rPr>
          <w:color w:val="000000" w:themeColor="text1"/>
        </w:rPr>
        <w:t>hh</w:t>
      </w:r>
      <w:proofErr w:type="spellEnd"/>
      <w:r w:rsidRPr="000D222E">
        <w:rPr>
          <w:color w:val="000000" w:themeColor="text1"/>
        </w:rPr>
        <w:t>-neutral.</w:t>
      </w:r>
    </w:p>
    <w:sectPr w:rsidR="0009182A" w:rsidRPr="000D222E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EA" w:rsidRDefault="008C3AEA">
      <w:r>
        <w:separator/>
      </w:r>
    </w:p>
  </w:endnote>
  <w:endnote w:type="continuationSeparator" w:id="0">
    <w:p w:rsidR="008C3AEA" w:rsidRDefault="008C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EA" w:rsidRDefault="008C3AEA">
      <w:r>
        <w:separator/>
      </w:r>
    </w:p>
  </w:footnote>
  <w:footnote w:type="continuationSeparator" w:id="0">
    <w:p w:rsidR="008C3AEA" w:rsidRDefault="008C3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EA" w:rsidRDefault="008C3AEA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C90F84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C90F84">
      <w:rPr>
        <w:rStyle w:val="Seitenzahl"/>
      </w:rPr>
      <w:fldChar w:fldCharType="separate"/>
    </w:r>
    <w:r w:rsidR="003822DC">
      <w:rPr>
        <w:rStyle w:val="Seitenzahl"/>
        <w:noProof/>
      </w:rPr>
      <w:t>2</w:t>
    </w:r>
    <w:r w:rsidR="00C90F84">
      <w:rPr>
        <w:rStyle w:val="Seitenzahl"/>
      </w:rPr>
      <w:fldChar w:fldCharType="end"/>
    </w:r>
    <w:r>
      <w:rPr>
        <w:rStyle w:val="Seitenzahl"/>
      </w:rPr>
      <w:t xml:space="preserve"> -</w:t>
    </w:r>
  </w:p>
  <w:p w:rsidR="008C3AEA" w:rsidRDefault="008C3AE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4D625EF3"/>
    <w:multiLevelType w:val="hybridMultilevel"/>
    <w:tmpl w:val="9CBED090"/>
    <w:lvl w:ilvl="0" w:tplc="B1F222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C48EF"/>
    <w:multiLevelType w:val="hybridMultilevel"/>
    <w:tmpl w:val="94E0DA4A"/>
    <w:lvl w:ilvl="0" w:tplc="0407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6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13487"/>
    <w:rsid w:val="00055758"/>
    <w:rsid w:val="000913E8"/>
    <w:rsid w:val="0009182A"/>
    <w:rsid w:val="000A1146"/>
    <w:rsid w:val="000B173A"/>
    <w:rsid w:val="000B576B"/>
    <w:rsid w:val="000D04B4"/>
    <w:rsid w:val="000D222E"/>
    <w:rsid w:val="000E01F7"/>
    <w:rsid w:val="001034AF"/>
    <w:rsid w:val="0011112B"/>
    <w:rsid w:val="0014415D"/>
    <w:rsid w:val="00163034"/>
    <w:rsid w:val="00164678"/>
    <w:rsid w:val="00165C0D"/>
    <w:rsid w:val="00181857"/>
    <w:rsid w:val="00183956"/>
    <w:rsid w:val="00184EDC"/>
    <w:rsid w:val="00194770"/>
    <w:rsid w:val="001A5F9B"/>
    <w:rsid w:val="001F0F6F"/>
    <w:rsid w:val="001F7237"/>
    <w:rsid w:val="002924CB"/>
    <w:rsid w:val="002A20D1"/>
    <w:rsid w:val="002A4DE3"/>
    <w:rsid w:val="002B5955"/>
    <w:rsid w:val="002C7DB5"/>
    <w:rsid w:val="003433B3"/>
    <w:rsid w:val="00380937"/>
    <w:rsid w:val="003822DC"/>
    <w:rsid w:val="00397717"/>
    <w:rsid w:val="003D7B0B"/>
    <w:rsid w:val="003E3D88"/>
    <w:rsid w:val="0042414D"/>
    <w:rsid w:val="00430A98"/>
    <w:rsid w:val="00446192"/>
    <w:rsid w:val="00470135"/>
    <w:rsid w:val="0047606A"/>
    <w:rsid w:val="004908B5"/>
    <w:rsid w:val="0049121B"/>
    <w:rsid w:val="00497041"/>
    <w:rsid w:val="004A1688"/>
    <w:rsid w:val="004B6796"/>
    <w:rsid w:val="004D2EDE"/>
    <w:rsid w:val="00511124"/>
    <w:rsid w:val="00534F93"/>
    <w:rsid w:val="005769DD"/>
    <w:rsid w:val="005A0A9D"/>
    <w:rsid w:val="005A56AA"/>
    <w:rsid w:val="005E19C6"/>
    <w:rsid w:val="005F5B3D"/>
    <w:rsid w:val="00606F80"/>
    <w:rsid w:val="00622CC7"/>
    <w:rsid w:val="00676AA8"/>
    <w:rsid w:val="00693A71"/>
    <w:rsid w:val="006946F8"/>
    <w:rsid w:val="006B6D50"/>
    <w:rsid w:val="006C0E29"/>
    <w:rsid w:val="006E0575"/>
    <w:rsid w:val="0072799A"/>
    <w:rsid w:val="00754659"/>
    <w:rsid w:val="00764B91"/>
    <w:rsid w:val="007E3B79"/>
    <w:rsid w:val="008066EE"/>
    <w:rsid w:val="00817BB6"/>
    <w:rsid w:val="00822CB1"/>
    <w:rsid w:val="00874590"/>
    <w:rsid w:val="00884D6C"/>
    <w:rsid w:val="008C3AEA"/>
    <w:rsid w:val="008E08BD"/>
    <w:rsid w:val="009138CB"/>
    <w:rsid w:val="009373F6"/>
    <w:rsid w:val="00976588"/>
    <w:rsid w:val="00977BF7"/>
    <w:rsid w:val="009C1F62"/>
    <w:rsid w:val="009C377E"/>
    <w:rsid w:val="009E3440"/>
    <w:rsid w:val="00A27CA7"/>
    <w:rsid w:val="00A71D0A"/>
    <w:rsid w:val="00A74ABD"/>
    <w:rsid w:val="00A77F1E"/>
    <w:rsid w:val="00A847C4"/>
    <w:rsid w:val="00AB389D"/>
    <w:rsid w:val="00AF0DEA"/>
    <w:rsid w:val="00B04290"/>
    <w:rsid w:val="00B21632"/>
    <w:rsid w:val="00B30258"/>
    <w:rsid w:val="00B60F2D"/>
    <w:rsid w:val="00B80DEF"/>
    <w:rsid w:val="00B91903"/>
    <w:rsid w:val="00BA01DB"/>
    <w:rsid w:val="00BA4FC1"/>
    <w:rsid w:val="00BC4669"/>
    <w:rsid w:val="00C16EF1"/>
    <w:rsid w:val="00C343A4"/>
    <w:rsid w:val="00C36D2E"/>
    <w:rsid w:val="00C448D3"/>
    <w:rsid w:val="00C5754D"/>
    <w:rsid w:val="00C764EC"/>
    <w:rsid w:val="00C90F84"/>
    <w:rsid w:val="00C93A03"/>
    <w:rsid w:val="00CB0210"/>
    <w:rsid w:val="00CF62E5"/>
    <w:rsid w:val="00D327E8"/>
    <w:rsid w:val="00D34235"/>
    <w:rsid w:val="00D66D3A"/>
    <w:rsid w:val="00D743D4"/>
    <w:rsid w:val="00DB3D6C"/>
    <w:rsid w:val="00DB3D86"/>
    <w:rsid w:val="00E014B6"/>
    <w:rsid w:val="00E1162F"/>
    <w:rsid w:val="00E11D5F"/>
    <w:rsid w:val="00E20E1F"/>
    <w:rsid w:val="00E31F50"/>
    <w:rsid w:val="00E42F96"/>
    <w:rsid w:val="00E5286C"/>
    <w:rsid w:val="00E7118F"/>
    <w:rsid w:val="00EE76D6"/>
    <w:rsid w:val="00F06659"/>
    <w:rsid w:val="00F11058"/>
    <w:rsid w:val="00F12B05"/>
    <w:rsid w:val="00F20AC3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8</cp:revision>
  <cp:lastPrinted>2015-09-22T16:51:00Z</cp:lastPrinted>
  <dcterms:created xsi:type="dcterms:W3CDTF">2015-09-11T08:51:00Z</dcterms:created>
  <dcterms:modified xsi:type="dcterms:W3CDTF">2015-09-22T16:51:00Z</dcterms:modified>
</cp:coreProperties>
</file>