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64" w:rsidRPr="00067FFE" w:rsidRDefault="00262264" w:rsidP="00262264">
      <w:pPr>
        <w:tabs>
          <w:tab w:val="left" w:pos="5812"/>
        </w:tabs>
        <w:jc w:val="right"/>
        <w:rPr>
          <w:szCs w:val="24"/>
        </w:rPr>
      </w:pPr>
      <w:r w:rsidRPr="00067FFE">
        <w:rPr>
          <w:szCs w:val="24"/>
        </w:rPr>
        <w:t xml:space="preserve">Anlage </w:t>
      </w:r>
      <w:r w:rsidR="00B46062">
        <w:rPr>
          <w:szCs w:val="24"/>
        </w:rPr>
        <w:t>13</w:t>
      </w:r>
      <w:r w:rsidRPr="00067FFE">
        <w:rPr>
          <w:szCs w:val="24"/>
        </w:rPr>
        <w:t xml:space="preserve"> zur </w:t>
      </w:r>
      <w:proofErr w:type="spellStart"/>
      <w:r w:rsidRPr="00067FFE">
        <w:rPr>
          <w:szCs w:val="24"/>
        </w:rPr>
        <w:t>GRDrs</w:t>
      </w:r>
      <w:proofErr w:type="spellEnd"/>
      <w:r w:rsidRPr="00067FFE">
        <w:rPr>
          <w:szCs w:val="24"/>
        </w:rPr>
        <w:t xml:space="preserve"> </w:t>
      </w:r>
      <w:r w:rsidR="00B46062">
        <w:rPr>
          <w:szCs w:val="24"/>
        </w:rPr>
        <w:t>798</w:t>
      </w:r>
      <w:r w:rsidRPr="00067FFE">
        <w:rPr>
          <w:szCs w:val="24"/>
        </w:rPr>
        <w:t>/</w:t>
      </w:r>
      <w:r w:rsidR="00B46062">
        <w:rPr>
          <w:szCs w:val="24"/>
        </w:rPr>
        <w:t>2015</w:t>
      </w:r>
    </w:p>
    <w:p w:rsidR="00262264" w:rsidRDefault="00262264" w:rsidP="00262264">
      <w:pPr>
        <w:tabs>
          <w:tab w:val="left" w:pos="6521"/>
        </w:tabs>
        <w:jc w:val="center"/>
        <w:rPr>
          <w:b/>
          <w:sz w:val="36"/>
          <w:u w:val="single"/>
        </w:rPr>
      </w:pPr>
    </w:p>
    <w:p w:rsidR="00262264" w:rsidRPr="00067FFE" w:rsidRDefault="00262264" w:rsidP="00262264">
      <w:pPr>
        <w:tabs>
          <w:tab w:val="left" w:pos="6521"/>
        </w:tabs>
        <w:jc w:val="center"/>
        <w:rPr>
          <w:b/>
          <w:sz w:val="36"/>
          <w:u w:val="single"/>
        </w:rPr>
      </w:pPr>
      <w:r w:rsidRPr="00067FFE">
        <w:rPr>
          <w:b/>
          <w:sz w:val="36"/>
          <w:u w:val="single"/>
        </w:rPr>
        <w:t xml:space="preserve">Verlängerung von Stellenvermerken </w:t>
      </w:r>
      <w:r w:rsidRPr="00067FFE">
        <w:rPr>
          <w:b/>
          <w:sz w:val="36"/>
          <w:u w:val="single"/>
        </w:rPr>
        <w:br/>
        <w:t>zum Stellenplan 2016</w:t>
      </w:r>
    </w:p>
    <w:p w:rsidR="00262264" w:rsidRPr="00067FFE" w:rsidRDefault="00262264" w:rsidP="00262264"/>
    <w:p w:rsidR="00262264" w:rsidRPr="00067FFE" w:rsidRDefault="00262264" w:rsidP="00262264"/>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815"/>
        <w:gridCol w:w="680"/>
        <w:gridCol w:w="1872"/>
        <w:gridCol w:w="708"/>
        <w:gridCol w:w="993"/>
        <w:gridCol w:w="1643"/>
      </w:tblGrid>
      <w:tr w:rsidR="00262264" w:rsidRPr="00067FFE" w:rsidTr="00262264">
        <w:trPr>
          <w:tblHeader/>
        </w:trPr>
        <w:tc>
          <w:tcPr>
            <w:tcW w:w="1814" w:type="dxa"/>
            <w:shd w:val="pct12" w:color="auto" w:fill="FFFFFF"/>
            <w:vAlign w:val="center"/>
          </w:tcPr>
          <w:p w:rsidR="00262264" w:rsidRPr="00262264" w:rsidRDefault="00262264" w:rsidP="00B46062">
            <w:pPr>
              <w:spacing w:before="60" w:after="60" w:line="200" w:lineRule="exact"/>
              <w:ind w:left="-85" w:right="-85"/>
              <w:jc w:val="center"/>
              <w:rPr>
                <w:sz w:val="20"/>
              </w:rPr>
            </w:pPr>
            <w:r w:rsidRPr="00262264">
              <w:rPr>
                <w:sz w:val="20"/>
              </w:rPr>
              <w:t>Org.-Einheit</w:t>
            </w:r>
            <w:r w:rsidRPr="00262264">
              <w:rPr>
                <w:sz w:val="20"/>
              </w:rPr>
              <w:br/>
              <w:t xml:space="preserve">(aut. </w:t>
            </w:r>
            <w:proofErr w:type="spellStart"/>
            <w:r w:rsidRPr="00262264">
              <w:rPr>
                <w:sz w:val="20"/>
              </w:rPr>
              <w:t>Stpl</w:t>
            </w:r>
            <w:proofErr w:type="spellEnd"/>
            <w:r w:rsidRPr="00262264">
              <w:rPr>
                <w:sz w:val="20"/>
              </w:rPr>
              <w:t>.),</w:t>
            </w:r>
          </w:p>
          <w:p w:rsidR="00262264" w:rsidRPr="00262264" w:rsidRDefault="00262264" w:rsidP="00B46062">
            <w:pPr>
              <w:spacing w:before="60" w:after="60" w:line="200" w:lineRule="exact"/>
              <w:ind w:left="-85" w:right="-85"/>
              <w:jc w:val="center"/>
              <w:rPr>
                <w:sz w:val="20"/>
              </w:rPr>
            </w:pPr>
            <w:r w:rsidRPr="00262264">
              <w:rPr>
                <w:sz w:val="20"/>
              </w:rPr>
              <w:br/>
              <w:t>Kostenstelle</w:t>
            </w:r>
          </w:p>
        </w:tc>
        <w:tc>
          <w:tcPr>
            <w:tcW w:w="1815" w:type="dxa"/>
            <w:shd w:val="pct12" w:color="auto" w:fill="FFFFFF"/>
            <w:vAlign w:val="center"/>
          </w:tcPr>
          <w:p w:rsidR="00262264" w:rsidRPr="00262264" w:rsidRDefault="00262264" w:rsidP="00B46062">
            <w:pPr>
              <w:spacing w:before="60" w:after="60" w:line="200" w:lineRule="exact"/>
              <w:ind w:left="-85" w:right="-85"/>
              <w:jc w:val="center"/>
              <w:rPr>
                <w:sz w:val="20"/>
              </w:rPr>
            </w:pPr>
            <w:r w:rsidRPr="00262264">
              <w:rPr>
                <w:sz w:val="20"/>
              </w:rPr>
              <w:t>Amt</w:t>
            </w:r>
          </w:p>
        </w:tc>
        <w:tc>
          <w:tcPr>
            <w:tcW w:w="680" w:type="dxa"/>
            <w:shd w:val="pct12" w:color="auto" w:fill="FFFFFF"/>
            <w:vAlign w:val="center"/>
          </w:tcPr>
          <w:p w:rsidR="00262264" w:rsidRPr="00262264" w:rsidRDefault="00262264" w:rsidP="00B46062">
            <w:pPr>
              <w:spacing w:before="60" w:after="60" w:line="200" w:lineRule="exact"/>
              <w:ind w:left="-85" w:right="-85"/>
              <w:jc w:val="center"/>
              <w:rPr>
                <w:sz w:val="20"/>
              </w:rPr>
            </w:pPr>
            <w:proofErr w:type="spellStart"/>
            <w:r w:rsidRPr="00262264">
              <w:rPr>
                <w:sz w:val="20"/>
              </w:rPr>
              <w:t>BesGr</w:t>
            </w:r>
            <w:proofErr w:type="spellEnd"/>
            <w:r w:rsidRPr="00262264">
              <w:rPr>
                <w:sz w:val="20"/>
              </w:rPr>
              <w:t>.</w:t>
            </w:r>
          </w:p>
          <w:p w:rsidR="00262264" w:rsidRPr="00262264" w:rsidRDefault="00262264" w:rsidP="00B46062">
            <w:pPr>
              <w:spacing w:before="60" w:after="60" w:line="200" w:lineRule="exact"/>
              <w:ind w:left="-85" w:right="-85"/>
              <w:jc w:val="center"/>
              <w:rPr>
                <w:sz w:val="20"/>
              </w:rPr>
            </w:pPr>
            <w:r w:rsidRPr="00262264">
              <w:rPr>
                <w:sz w:val="20"/>
              </w:rPr>
              <w:t>oder</w:t>
            </w:r>
          </w:p>
          <w:p w:rsidR="00262264" w:rsidRPr="00262264" w:rsidRDefault="00262264" w:rsidP="00B46062">
            <w:pPr>
              <w:spacing w:before="60" w:after="60" w:line="200" w:lineRule="exact"/>
              <w:ind w:left="-85" w:right="-85"/>
              <w:jc w:val="center"/>
              <w:rPr>
                <w:sz w:val="20"/>
              </w:rPr>
            </w:pPr>
            <w:r w:rsidRPr="00262264">
              <w:rPr>
                <w:sz w:val="20"/>
              </w:rPr>
              <w:t>EG</w:t>
            </w:r>
          </w:p>
        </w:tc>
        <w:tc>
          <w:tcPr>
            <w:tcW w:w="1872" w:type="dxa"/>
            <w:shd w:val="pct12" w:color="auto" w:fill="FFFFFF"/>
            <w:vAlign w:val="center"/>
          </w:tcPr>
          <w:p w:rsidR="00262264" w:rsidRPr="00262264" w:rsidRDefault="00262264" w:rsidP="00B46062">
            <w:pPr>
              <w:spacing w:before="60" w:after="60" w:line="200" w:lineRule="exact"/>
              <w:ind w:left="-85" w:right="-85"/>
              <w:jc w:val="center"/>
              <w:rPr>
                <w:sz w:val="20"/>
              </w:rPr>
            </w:pPr>
            <w:r w:rsidRPr="00262264">
              <w:rPr>
                <w:sz w:val="20"/>
              </w:rPr>
              <w:t>Funktions</w:t>
            </w:r>
            <w:r>
              <w:rPr>
                <w:sz w:val="20"/>
              </w:rPr>
              <w:t>-</w:t>
            </w:r>
            <w:proofErr w:type="spellStart"/>
            <w:r w:rsidRPr="00262264">
              <w:rPr>
                <w:sz w:val="20"/>
              </w:rPr>
              <w:t>bezeichnung</w:t>
            </w:r>
            <w:proofErr w:type="spellEnd"/>
          </w:p>
        </w:tc>
        <w:tc>
          <w:tcPr>
            <w:tcW w:w="708" w:type="dxa"/>
            <w:shd w:val="pct12" w:color="auto" w:fill="FFFFFF"/>
            <w:vAlign w:val="center"/>
          </w:tcPr>
          <w:p w:rsidR="00262264" w:rsidRPr="00262264" w:rsidRDefault="00262264" w:rsidP="00B46062">
            <w:pPr>
              <w:spacing w:before="60" w:after="60" w:line="200" w:lineRule="exact"/>
              <w:ind w:left="-85" w:right="-85"/>
              <w:jc w:val="center"/>
              <w:rPr>
                <w:sz w:val="20"/>
              </w:rPr>
            </w:pPr>
            <w:r w:rsidRPr="00262264">
              <w:rPr>
                <w:sz w:val="20"/>
              </w:rPr>
              <w:t>Anzahl</w:t>
            </w:r>
            <w:r w:rsidRPr="00262264">
              <w:rPr>
                <w:sz w:val="20"/>
              </w:rPr>
              <w:br/>
              <w:t>der</w:t>
            </w:r>
            <w:r w:rsidRPr="00262264">
              <w:rPr>
                <w:sz w:val="20"/>
              </w:rPr>
              <w:br/>
              <w:t>Stellen</w:t>
            </w:r>
          </w:p>
        </w:tc>
        <w:tc>
          <w:tcPr>
            <w:tcW w:w="993" w:type="dxa"/>
            <w:shd w:val="pct12" w:color="auto" w:fill="FFFFFF"/>
            <w:vAlign w:val="center"/>
          </w:tcPr>
          <w:p w:rsidR="00262264" w:rsidRPr="00262264" w:rsidRDefault="00262264" w:rsidP="00B46062">
            <w:pPr>
              <w:spacing w:before="60" w:after="60" w:line="200" w:lineRule="exact"/>
              <w:ind w:left="-85" w:right="-85"/>
              <w:jc w:val="center"/>
              <w:rPr>
                <w:sz w:val="20"/>
              </w:rPr>
            </w:pPr>
            <w:r w:rsidRPr="00262264">
              <w:rPr>
                <w:sz w:val="20"/>
              </w:rPr>
              <w:t>Stellen-</w:t>
            </w:r>
            <w:r w:rsidRPr="00262264">
              <w:rPr>
                <w:sz w:val="20"/>
              </w:rPr>
              <w:br/>
              <w:t>vermerk</w:t>
            </w:r>
          </w:p>
          <w:p w:rsidR="00262264" w:rsidRPr="00262264" w:rsidRDefault="00262264" w:rsidP="00B46062">
            <w:pPr>
              <w:spacing w:before="60" w:after="60" w:line="200" w:lineRule="exact"/>
              <w:ind w:left="-85" w:right="-85"/>
              <w:jc w:val="center"/>
              <w:rPr>
                <w:sz w:val="20"/>
              </w:rPr>
            </w:pPr>
            <w:r w:rsidRPr="00262264">
              <w:rPr>
                <w:sz w:val="20"/>
              </w:rPr>
              <w:br/>
              <w:t>bisher</w:t>
            </w:r>
          </w:p>
          <w:p w:rsidR="00262264" w:rsidRPr="00262264" w:rsidRDefault="00262264" w:rsidP="00B46062">
            <w:pPr>
              <w:spacing w:before="60" w:after="60" w:line="200" w:lineRule="exact"/>
              <w:ind w:left="-85" w:right="-85"/>
              <w:jc w:val="center"/>
              <w:rPr>
                <w:sz w:val="20"/>
              </w:rPr>
            </w:pPr>
            <w:r w:rsidRPr="00262264">
              <w:rPr>
                <w:b/>
                <w:sz w:val="20"/>
              </w:rPr>
              <w:t>neu</w:t>
            </w:r>
          </w:p>
        </w:tc>
        <w:tc>
          <w:tcPr>
            <w:tcW w:w="1643" w:type="dxa"/>
            <w:shd w:val="pct12" w:color="auto" w:fill="FFFFFF"/>
            <w:vAlign w:val="center"/>
          </w:tcPr>
          <w:p w:rsidR="00262264" w:rsidRPr="00262264" w:rsidRDefault="00262264" w:rsidP="00B46062">
            <w:pPr>
              <w:spacing w:before="60" w:after="60" w:line="200" w:lineRule="exact"/>
              <w:ind w:left="-85" w:right="-85"/>
              <w:jc w:val="center"/>
              <w:rPr>
                <w:sz w:val="20"/>
              </w:rPr>
            </w:pPr>
            <w:proofErr w:type="spellStart"/>
            <w:r w:rsidRPr="00262264">
              <w:rPr>
                <w:sz w:val="20"/>
              </w:rPr>
              <w:t>durchschnittl</w:t>
            </w:r>
            <w:proofErr w:type="spellEnd"/>
            <w:r w:rsidRPr="00262264">
              <w:rPr>
                <w:sz w:val="20"/>
              </w:rPr>
              <w:t>.</w:t>
            </w:r>
            <w:r w:rsidRPr="00262264">
              <w:rPr>
                <w:sz w:val="20"/>
              </w:rPr>
              <w:br/>
            </w:r>
            <w:proofErr w:type="spellStart"/>
            <w:r w:rsidRPr="00262264">
              <w:rPr>
                <w:sz w:val="20"/>
              </w:rPr>
              <w:t>jährl</w:t>
            </w:r>
            <w:proofErr w:type="spellEnd"/>
            <w:r w:rsidRPr="00262264">
              <w:rPr>
                <w:sz w:val="20"/>
              </w:rPr>
              <w:t>. kosten-</w:t>
            </w:r>
            <w:r w:rsidRPr="00262264">
              <w:rPr>
                <w:sz w:val="20"/>
              </w:rPr>
              <w:br/>
              <w:t>wirksamer</w:t>
            </w:r>
            <w:r w:rsidRPr="00262264">
              <w:rPr>
                <w:sz w:val="20"/>
              </w:rPr>
              <w:br/>
              <w:t>Aufwand</w:t>
            </w:r>
            <w:r w:rsidRPr="00262264">
              <w:rPr>
                <w:sz w:val="20"/>
              </w:rPr>
              <w:br/>
              <w:t>Euro</w:t>
            </w:r>
          </w:p>
        </w:tc>
      </w:tr>
      <w:tr w:rsidR="006A4A2F" w:rsidRPr="00067FFE" w:rsidTr="00262264">
        <w:tc>
          <w:tcPr>
            <w:tcW w:w="1814" w:type="dxa"/>
          </w:tcPr>
          <w:p w:rsidR="006A4A2F" w:rsidRDefault="00B46062" w:rsidP="00B46062">
            <w:pPr>
              <w:jc w:val="center"/>
              <w:rPr>
                <w:sz w:val="20"/>
              </w:rPr>
            </w:pPr>
            <w:r>
              <w:rPr>
                <w:sz w:val="20"/>
              </w:rPr>
              <w:t>400.25</w:t>
            </w:r>
            <w:r w:rsidR="006A4A2F">
              <w:rPr>
                <w:sz w:val="20"/>
              </w:rPr>
              <w:t>00.080</w:t>
            </w:r>
          </w:p>
          <w:p w:rsidR="006A4A2F" w:rsidRDefault="006A4A2F" w:rsidP="00B46062">
            <w:pPr>
              <w:jc w:val="center"/>
              <w:rPr>
                <w:sz w:val="20"/>
              </w:rPr>
            </w:pPr>
          </w:p>
          <w:p w:rsidR="006A4A2F" w:rsidRPr="006E0575" w:rsidRDefault="006A4A2F" w:rsidP="00B46062">
            <w:pPr>
              <w:jc w:val="center"/>
              <w:rPr>
                <w:sz w:val="20"/>
              </w:rPr>
            </w:pPr>
            <w:r>
              <w:rPr>
                <w:sz w:val="20"/>
              </w:rPr>
              <w:t>KST 40256000</w:t>
            </w:r>
          </w:p>
        </w:tc>
        <w:tc>
          <w:tcPr>
            <w:tcW w:w="1815" w:type="dxa"/>
          </w:tcPr>
          <w:p w:rsidR="006A4A2F" w:rsidRPr="006E0575" w:rsidRDefault="006A4A2F" w:rsidP="00B46062">
            <w:pPr>
              <w:rPr>
                <w:sz w:val="20"/>
              </w:rPr>
            </w:pPr>
            <w:r>
              <w:rPr>
                <w:sz w:val="20"/>
              </w:rPr>
              <w:t>Schulverwa</w:t>
            </w:r>
            <w:r>
              <w:rPr>
                <w:sz w:val="20"/>
              </w:rPr>
              <w:t>l</w:t>
            </w:r>
            <w:r>
              <w:rPr>
                <w:sz w:val="20"/>
              </w:rPr>
              <w:t>tungsamt</w:t>
            </w:r>
          </w:p>
        </w:tc>
        <w:tc>
          <w:tcPr>
            <w:tcW w:w="680" w:type="dxa"/>
          </w:tcPr>
          <w:p w:rsidR="006A4A2F" w:rsidRPr="006E0575" w:rsidRDefault="00B46062" w:rsidP="00B46062">
            <w:pPr>
              <w:jc w:val="center"/>
              <w:rPr>
                <w:sz w:val="20"/>
              </w:rPr>
            </w:pPr>
            <w:r>
              <w:rPr>
                <w:sz w:val="20"/>
              </w:rPr>
              <w:t>A 12</w:t>
            </w:r>
          </w:p>
        </w:tc>
        <w:tc>
          <w:tcPr>
            <w:tcW w:w="1872" w:type="dxa"/>
          </w:tcPr>
          <w:p w:rsidR="006A4A2F" w:rsidRPr="006E0575" w:rsidRDefault="006A4A2F" w:rsidP="00B46062">
            <w:pPr>
              <w:rPr>
                <w:sz w:val="20"/>
              </w:rPr>
            </w:pPr>
            <w:r>
              <w:rPr>
                <w:sz w:val="20"/>
              </w:rPr>
              <w:t>Architekt/-in</w:t>
            </w:r>
          </w:p>
        </w:tc>
        <w:tc>
          <w:tcPr>
            <w:tcW w:w="708" w:type="dxa"/>
            <w:shd w:val="pct12" w:color="auto" w:fill="FFFFFF"/>
          </w:tcPr>
          <w:p w:rsidR="006A4A2F" w:rsidRPr="006E0575" w:rsidRDefault="006A4A2F" w:rsidP="00B46062">
            <w:pPr>
              <w:jc w:val="center"/>
              <w:rPr>
                <w:sz w:val="20"/>
              </w:rPr>
            </w:pPr>
            <w:r>
              <w:rPr>
                <w:sz w:val="20"/>
              </w:rPr>
              <w:t>1,0</w:t>
            </w:r>
          </w:p>
        </w:tc>
        <w:tc>
          <w:tcPr>
            <w:tcW w:w="993" w:type="dxa"/>
          </w:tcPr>
          <w:p w:rsidR="006A4A2F" w:rsidRDefault="006A4A2F" w:rsidP="00B46062">
            <w:pPr>
              <w:jc w:val="center"/>
              <w:rPr>
                <w:sz w:val="20"/>
              </w:rPr>
            </w:pPr>
            <w:r>
              <w:rPr>
                <w:sz w:val="20"/>
              </w:rPr>
              <w:t>KW 01/2018</w:t>
            </w:r>
          </w:p>
          <w:p w:rsidR="006A4A2F" w:rsidRDefault="006A4A2F" w:rsidP="00B46062">
            <w:pPr>
              <w:jc w:val="center"/>
              <w:rPr>
                <w:sz w:val="20"/>
              </w:rPr>
            </w:pPr>
            <w:r>
              <w:rPr>
                <w:sz w:val="20"/>
              </w:rPr>
              <w:t>neu:</w:t>
            </w:r>
          </w:p>
          <w:p w:rsidR="006A4A2F" w:rsidRPr="00027EF2" w:rsidRDefault="006A4A2F" w:rsidP="00B46062">
            <w:pPr>
              <w:jc w:val="center"/>
              <w:rPr>
                <w:b/>
                <w:sz w:val="20"/>
              </w:rPr>
            </w:pPr>
            <w:r w:rsidRPr="00027EF2">
              <w:rPr>
                <w:b/>
                <w:sz w:val="20"/>
              </w:rPr>
              <w:t>KW 01/2020</w:t>
            </w:r>
          </w:p>
        </w:tc>
        <w:tc>
          <w:tcPr>
            <w:tcW w:w="1643" w:type="dxa"/>
          </w:tcPr>
          <w:p w:rsidR="006A4A2F" w:rsidRDefault="006A4A2F" w:rsidP="00B46062">
            <w:pPr>
              <w:jc w:val="center"/>
              <w:rPr>
                <w:sz w:val="20"/>
              </w:rPr>
            </w:pPr>
          </w:p>
          <w:p w:rsidR="00B46062" w:rsidRPr="006E0575" w:rsidRDefault="00B46062" w:rsidP="00B46062">
            <w:pPr>
              <w:jc w:val="center"/>
              <w:rPr>
                <w:sz w:val="20"/>
              </w:rPr>
            </w:pPr>
            <w:r>
              <w:rPr>
                <w:sz w:val="20"/>
              </w:rPr>
              <w:t>--</w:t>
            </w:r>
          </w:p>
        </w:tc>
      </w:tr>
      <w:tr w:rsidR="006A4A2F" w:rsidRPr="00067FFE" w:rsidTr="00262264">
        <w:tc>
          <w:tcPr>
            <w:tcW w:w="1814" w:type="dxa"/>
          </w:tcPr>
          <w:p w:rsidR="006A4A2F" w:rsidRDefault="006A4A2F" w:rsidP="00B46062">
            <w:pPr>
              <w:jc w:val="center"/>
              <w:rPr>
                <w:sz w:val="20"/>
              </w:rPr>
            </w:pPr>
            <w:r>
              <w:rPr>
                <w:sz w:val="20"/>
              </w:rPr>
              <w:t>400.2500.100</w:t>
            </w:r>
          </w:p>
          <w:p w:rsidR="006A4A2F" w:rsidRDefault="006A4A2F" w:rsidP="00B46062">
            <w:pPr>
              <w:jc w:val="center"/>
              <w:rPr>
                <w:sz w:val="20"/>
              </w:rPr>
            </w:pPr>
          </w:p>
          <w:p w:rsidR="006A4A2F" w:rsidRDefault="006A4A2F" w:rsidP="00B46062">
            <w:pPr>
              <w:jc w:val="center"/>
              <w:rPr>
                <w:sz w:val="20"/>
              </w:rPr>
            </w:pPr>
            <w:r>
              <w:rPr>
                <w:sz w:val="20"/>
              </w:rPr>
              <w:t>KST 40256000</w:t>
            </w:r>
          </w:p>
        </w:tc>
        <w:tc>
          <w:tcPr>
            <w:tcW w:w="1815" w:type="dxa"/>
          </w:tcPr>
          <w:p w:rsidR="006A4A2F" w:rsidRDefault="006A4A2F" w:rsidP="00B46062">
            <w:pPr>
              <w:rPr>
                <w:sz w:val="20"/>
              </w:rPr>
            </w:pPr>
            <w:r>
              <w:rPr>
                <w:sz w:val="20"/>
              </w:rPr>
              <w:t>Schulverwa</w:t>
            </w:r>
            <w:r>
              <w:rPr>
                <w:sz w:val="20"/>
              </w:rPr>
              <w:t>l</w:t>
            </w:r>
            <w:r>
              <w:rPr>
                <w:sz w:val="20"/>
              </w:rPr>
              <w:t>tungsamt</w:t>
            </w:r>
          </w:p>
        </w:tc>
        <w:tc>
          <w:tcPr>
            <w:tcW w:w="680" w:type="dxa"/>
          </w:tcPr>
          <w:p w:rsidR="006A4A2F" w:rsidRDefault="006A4A2F" w:rsidP="00B46062">
            <w:pPr>
              <w:rPr>
                <w:sz w:val="20"/>
              </w:rPr>
            </w:pPr>
            <w:r>
              <w:rPr>
                <w:sz w:val="20"/>
              </w:rPr>
              <w:t>EG 11</w:t>
            </w:r>
          </w:p>
        </w:tc>
        <w:tc>
          <w:tcPr>
            <w:tcW w:w="1872" w:type="dxa"/>
          </w:tcPr>
          <w:p w:rsidR="006A4A2F" w:rsidRPr="006E0575" w:rsidRDefault="006A4A2F" w:rsidP="00B46062">
            <w:pPr>
              <w:rPr>
                <w:sz w:val="20"/>
              </w:rPr>
            </w:pPr>
            <w:r>
              <w:rPr>
                <w:sz w:val="20"/>
              </w:rPr>
              <w:t>Architekt/-in</w:t>
            </w:r>
          </w:p>
        </w:tc>
        <w:tc>
          <w:tcPr>
            <w:tcW w:w="708" w:type="dxa"/>
            <w:shd w:val="pct12" w:color="auto" w:fill="FFFFFF"/>
          </w:tcPr>
          <w:p w:rsidR="006A4A2F" w:rsidRDefault="006A4A2F" w:rsidP="00B46062">
            <w:pPr>
              <w:jc w:val="center"/>
              <w:rPr>
                <w:sz w:val="20"/>
              </w:rPr>
            </w:pPr>
            <w:r>
              <w:rPr>
                <w:sz w:val="20"/>
              </w:rPr>
              <w:t>0,875</w:t>
            </w:r>
          </w:p>
        </w:tc>
        <w:tc>
          <w:tcPr>
            <w:tcW w:w="993" w:type="dxa"/>
          </w:tcPr>
          <w:p w:rsidR="006A4A2F" w:rsidRDefault="006A4A2F" w:rsidP="00027EF2">
            <w:pPr>
              <w:jc w:val="center"/>
              <w:rPr>
                <w:sz w:val="20"/>
              </w:rPr>
            </w:pPr>
            <w:r>
              <w:rPr>
                <w:sz w:val="20"/>
              </w:rPr>
              <w:t>KW 01/2018</w:t>
            </w:r>
          </w:p>
          <w:p w:rsidR="006A4A2F" w:rsidRDefault="006A4A2F" w:rsidP="00027EF2">
            <w:pPr>
              <w:jc w:val="center"/>
              <w:rPr>
                <w:sz w:val="20"/>
              </w:rPr>
            </w:pPr>
            <w:r>
              <w:rPr>
                <w:sz w:val="20"/>
              </w:rPr>
              <w:t>neu:</w:t>
            </w:r>
          </w:p>
          <w:p w:rsidR="006A4A2F" w:rsidRDefault="006A4A2F" w:rsidP="00027EF2">
            <w:pPr>
              <w:jc w:val="center"/>
              <w:rPr>
                <w:sz w:val="20"/>
              </w:rPr>
            </w:pPr>
            <w:r w:rsidRPr="00027EF2">
              <w:rPr>
                <w:b/>
                <w:sz w:val="20"/>
              </w:rPr>
              <w:t>KW 01/2020</w:t>
            </w:r>
          </w:p>
        </w:tc>
        <w:tc>
          <w:tcPr>
            <w:tcW w:w="1643" w:type="dxa"/>
          </w:tcPr>
          <w:p w:rsidR="006A4A2F" w:rsidRDefault="006A4A2F" w:rsidP="00B46062">
            <w:pPr>
              <w:jc w:val="center"/>
              <w:rPr>
                <w:sz w:val="20"/>
              </w:rPr>
            </w:pPr>
          </w:p>
          <w:p w:rsidR="00B46062" w:rsidRPr="00067FFE" w:rsidRDefault="00B46062" w:rsidP="00B46062">
            <w:pPr>
              <w:jc w:val="center"/>
              <w:rPr>
                <w:sz w:val="20"/>
              </w:rPr>
            </w:pPr>
            <w:r>
              <w:rPr>
                <w:sz w:val="20"/>
              </w:rPr>
              <w:t>--</w:t>
            </w:r>
          </w:p>
        </w:tc>
      </w:tr>
      <w:tr w:rsidR="006A4A2F" w:rsidRPr="00067FFE" w:rsidTr="00262264">
        <w:tc>
          <w:tcPr>
            <w:tcW w:w="1814" w:type="dxa"/>
          </w:tcPr>
          <w:p w:rsidR="006A4A2F" w:rsidRDefault="006A4A2F" w:rsidP="00B46062">
            <w:pPr>
              <w:jc w:val="center"/>
              <w:rPr>
                <w:sz w:val="20"/>
              </w:rPr>
            </w:pPr>
            <w:r>
              <w:rPr>
                <w:sz w:val="20"/>
              </w:rPr>
              <w:t>400.2500.120</w:t>
            </w:r>
          </w:p>
          <w:p w:rsidR="006A4A2F" w:rsidRDefault="006A4A2F" w:rsidP="00B46062">
            <w:pPr>
              <w:jc w:val="center"/>
              <w:rPr>
                <w:sz w:val="20"/>
              </w:rPr>
            </w:pPr>
          </w:p>
          <w:p w:rsidR="006A4A2F" w:rsidRDefault="006A4A2F" w:rsidP="00B46062">
            <w:pPr>
              <w:jc w:val="center"/>
              <w:rPr>
                <w:sz w:val="20"/>
              </w:rPr>
            </w:pPr>
            <w:r>
              <w:rPr>
                <w:sz w:val="20"/>
              </w:rPr>
              <w:t>KST 40256000</w:t>
            </w:r>
          </w:p>
        </w:tc>
        <w:tc>
          <w:tcPr>
            <w:tcW w:w="1815" w:type="dxa"/>
          </w:tcPr>
          <w:p w:rsidR="006A4A2F" w:rsidRDefault="006A4A2F" w:rsidP="00B46062">
            <w:pPr>
              <w:rPr>
                <w:sz w:val="20"/>
              </w:rPr>
            </w:pPr>
            <w:r>
              <w:rPr>
                <w:sz w:val="20"/>
              </w:rPr>
              <w:t>Schulverwa</w:t>
            </w:r>
            <w:r>
              <w:rPr>
                <w:sz w:val="20"/>
              </w:rPr>
              <w:t>l</w:t>
            </w:r>
            <w:r>
              <w:rPr>
                <w:sz w:val="20"/>
              </w:rPr>
              <w:t>tungsamt</w:t>
            </w:r>
          </w:p>
        </w:tc>
        <w:tc>
          <w:tcPr>
            <w:tcW w:w="680" w:type="dxa"/>
          </w:tcPr>
          <w:p w:rsidR="006A4A2F" w:rsidRDefault="006A4A2F" w:rsidP="00B46062">
            <w:pPr>
              <w:jc w:val="center"/>
              <w:rPr>
                <w:sz w:val="20"/>
              </w:rPr>
            </w:pPr>
            <w:r>
              <w:rPr>
                <w:sz w:val="20"/>
              </w:rPr>
              <w:t>EG 11</w:t>
            </w:r>
          </w:p>
        </w:tc>
        <w:tc>
          <w:tcPr>
            <w:tcW w:w="1872" w:type="dxa"/>
          </w:tcPr>
          <w:p w:rsidR="006A4A2F" w:rsidRPr="006E0575" w:rsidRDefault="006A4A2F" w:rsidP="00B46062">
            <w:pPr>
              <w:rPr>
                <w:sz w:val="20"/>
              </w:rPr>
            </w:pPr>
            <w:r>
              <w:rPr>
                <w:sz w:val="20"/>
              </w:rPr>
              <w:t>Architekt/-in</w:t>
            </w:r>
          </w:p>
        </w:tc>
        <w:tc>
          <w:tcPr>
            <w:tcW w:w="708" w:type="dxa"/>
            <w:shd w:val="pct12" w:color="auto" w:fill="FFFFFF"/>
          </w:tcPr>
          <w:p w:rsidR="006A4A2F" w:rsidRDefault="006A4A2F" w:rsidP="00B46062">
            <w:pPr>
              <w:jc w:val="center"/>
              <w:rPr>
                <w:sz w:val="20"/>
              </w:rPr>
            </w:pPr>
            <w:r>
              <w:rPr>
                <w:sz w:val="20"/>
              </w:rPr>
              <w:t>1,0</w:t>
            </w:r>
          </w:p>
        </w:tc>
        <w:tc>
          <w:tcPr>
            <w:tcW w:w="993" w:type="dxa"/>
          </w:tcPr>
          <w:p w:rsidR="006A4A2F" w:rsidRDefault="006A4A2F" w:rsidP="00027EF2">
            <w:pPr>
              <w:jc w:val="center"/>
              <w:rPr>
                <w:sz w:val="20"/>
              </w:rPr>
            </w:pPr>
            <w:r>
              <w:rPr>
                <w:sz w:val="20"/>
              </w:rPr>
              <w:t>KW 01/2018</w:t>
            </w:r>
          </w:p>
          <w:p w:rsidR="006A4A2F" w:rsidRDefault="006A4A2F" w:rsidP="00027EF2">
            <w:pPr>
              <w:jc w:val="center"/>
              <w:rPr>
                <w:sz w:val="20"/>
              </w:rPr>
            </w:pPr>
            <w:r>
              <w:rPr>
                <w:sz w:val="20"/>
              </w:rPr>
              <w:t>neu:</w:t>
            </w:r>
          </w:p>
          <w:p w:rsidR="006A4A2F" w:rsidRDefault="006A4A2F" w:rsidP="00027EF2">
            <w:pPr>
              <w:jc w:val="center"/>
              <w:rPr>
                <w:sz w:val="20"/>
              </w:rPr>
            </w:pPr>
            <w:r w:rsidRPr="00027EF2">
              <w:rPr>
                <w:b/>
                <w:sz w:val="20"/>
              </w:rPr>
              <w:t>KW 01/2020</w:t>
            </w:r>
          </w:p>
        </w:tc>
        <w:tc>
          <w:tcPr>
            <w:tcW w:w="1643" w:type="dxa"/>
          </w:tcPr>
          <w:p w:rsidR="006A4A2F" w:rsidRDefault="006A4A2F" w:rsidP="00B46062">
            <w:pPr>
              <w:jc w:val="center"/>
              <w:rPr>
                <w:sz w:val="20"/>
              </w:rPr>
            </w:pPr>
          </w:p>
          <w:p w:rsidR="00B46062" w:rsidRPr="00067FFE" w:rsidRDefault="00B46062" w:rsidP="00B46062">
            <w:pPr>
              <w:jc w:val="center"/>
              <w:rPr>
                <w:sz w:val="20"/>
              </w:rPr>
            </w:pPr>
            <w:r>
              <w:rPr>
                <w:sz w:val="20"/>
              </w:rPr>
              <w:t>--</w:t>
            </w:r>
          </w:p>
        </w:tc>
      </w:tr>
      <w:tr w:rsidR="006A4A2F" w:rsidRPr="00067FFE" w:rsidTr="00262264">
        <w:tc>
          <w:tcPr>
            <w:tcW w:w="1814" w:type="dxa"/>
          </w:tcPr>
          <w:p w:rsidR="006A4A2F" w:rsidRDefault="006A4A2F" w:rsidP="00B46062">
            <w:pPr>
              <w:jc w:val="center"/>
              <w:rPr>
                <w:sz w:val="20"/>
              </w:rPr>
            </w:pPr>
            <w:r>
              <w:rPr>
                <w:sz w:val="20"/>
              </w:rPr>
              <w:t>400.2500.130</w:t>
            </w:r>
          </w:p>
          <w:p w:rsidR="006A4A2F" w:rsidRDefault="006A4A2F" w:rsidP="00B46062">
            <w:pPr>
              <w:jc w:val="center"/>
              <w:rPr>
                <w:sz w:val="20"/>
              </w:rPr>
            </w:pPr>
          </w:p>
          <w:p w:rsidR="006A4A2F" w:rsidRDefault="006A4A2F" w:rsidP="00B46062">
            <w:pPr>
              <w:jc w:val="center"/>
              <w:rPr>
                <w:sz w:val="20"/>
              </w:rPr>
            </w:pPr>
            <w:r>
              <w:rPr>
                <w:sz w:val="20"/>
              </w:rPr>
              <w:t>KST 40256000</w:t>
            </w:r>
          </w:p>
        </w:tc>
        <w:tc>
          <w:tcPr>
            <w:tcW w:w="1815" w:type="dxa"/>
          </w:tcPr>
          <w:p w:rsidR="006A4A2F" w:rsidRDefault="006A4A2F" w:rsidP="00B46062">
            <w:pPr>
              <w:rPr>
                <w:sz w:val="20"/>
              </w:rPr>
            </w:pPr>
            <w:r>
              <w:rPr>
                <w:sz w:val="20"/>
              </w:rPr>
              <w:t>Schulverwa</w:t>
            </w:r>
            <w:r>
              <w:rPr>
                <w:sz w:val="20"/>
              </w:rPr>
              <w:t>l</w:t>
            </w:r>
            <w:r>
              <w:rPr>
                <w:sz w:val="20"/>
              </w:rPr>
              <w:t>tungsamt</w:t>
            </w:r>
          </w:p>
        </w:tc>
        <w:tc>
          <w:tcPr>
            <w:tcW w:w="680" w:type="dxa"/>
          </w:tcPr>
          <w:p w:rsidR="006A4A2F" w:rsidRDefault="006A4A2F" w:rsidP="00B46062">
            <w:pPr>
              <w:jc w:val="center"/>
              <w:rPr>
                <w:sz w:val="20"/>
              </w:rPr>
            </w:pPr>
            <w:r>
              <w:rPr>
                <w:sz w:val="20"/>
              </w:rPr>
              <w:t>EG 11</w:t>
            </w:r>
          </w:p>
        </w:tc>
        <w:tc>
          <w:tcPr>
            <w:tcW w:w="1872" w:type="dxa"/>
          </w:tcPr>
          <w:p w:rsidR="006A4A2F" w:rsidRPr="006E0575" w:rsidRDefault="006A4A2F" w:rsidP="00B46062">
            <w:pPr>
              <w:rPr>
                <w:sz w:val="20"/>
              </w:rPr>
            </w:pPr>
            <w:r>
              <w:rPr>
                <w:sz w:val="20"/>
              </w:rPr>
              <w:t>Architekt/-in</w:t>
            </w:r>
          </w:p>
        </w:tc>
        <w:tc>
          <w:tcPr>
            <w:tcW w:w="708" w:type="dxa"/>
            <w:shd w:val="pct12" w:color="auto" w:fill="FFFFFF"/>
          </w:tcPr>
          <w:p w:rsidR="006A4A2F" w:rsidRDefault="006A4A2F" w:rsidP="00B46062">
            <w:pPr>
              <w:jc w:val="center"/>
              <w:rPr>
                <w:sz w:val="20"/>
              </w:rPr>
            </w:pPr>
            <w:r>
              <w:rPr>
                <w:sz w:val="20"/>
              </w:rPr>
              <w:t>1,0</w:t>
            </w:r>
          </w:p>
        </w:tc>
        <w:tc>
          <w:tcPr>
            <w:tcW w:w="993" w:type="dxa"/>
          </w:tcPr>
          <w:p w:rsidR="006A4A2F" w:rsidRDefault="006A4A2F" w:rsidP="00027EF2">
            <w:pPr>
              <w:jc w:val="center"/>
              <w:rPr>
                <w:sz w:val="20"/>
              </w:rPr>
            </w:pPr>
            <w:r>
              <w:rPr>
                <w:sz w:val="20"/>
              </w:rPr>
              <w:t>KW 01/2018</w:t>
            </w:r>
          </w:p>
          <w:p w:rsidR="006A4A2F" w:rsidRDefault="006A4A2F" w:rsidP="00027EF2">
            <w:pPr>
              <w:jc w:val="center"/>
              <w:rPr>
                <w:sz w:val="20"/>
              </w:rPr>
            </w:pPr>
            <w:r>
              <w:rPr>
                <w:sz w:val="20"/>
              </w:rPr>
              <w:t>neu:</w:t>
            </w:r>
          </w:p>
          <w:p w:rsidR="006A4A2F" w:rsidRDefault="006A4A2F" w:rsidP="00027EF2">
            <w:pPr>
              <w:jc w:val="center"/>
              <w:rPr>
                <w:sz w:val="20"/>
              </w:rPr>
            </w:pPr>
            <w:r w:rsidRPr="00027EF2">
              <w:rPr>
                <w:b/>
                <w:sz w:val="20"/>
              </w:rPr>
              <w:t>KW 01/2020</w:t>
            </w:r>
          </w:p>
        </w:tc>
        <w:tc>
          <w:tcPr>
            <w:tcW w:w="1643" w:type="dxa"/>
          </w:tcPr>
          <w:p w:rsidR="006A4A2F" w:rsidRDefault="006A4A2F" w:rsidP="00B46062">
            <w:pPr>
              <w:jc w:val="center"/>
              <w:rPr>
                <w:sz w:val="20"/>
              </w:rPr>
            </w:pPr>
          </w:p>
          <w:p w:rsidR="00B46062" w:rsidRPr="00067FFE" w:rsidRDefault="00B46062" w:rsidP="00B46062">
            <w:pPr>
              <w:jc w:val="center"/>
              <w:rPr>
                <w:sz w:val="20"/>
              </w:rPr>
            </w:pPr>
            <w:r>
              <w:rPr>
                <w:sz w:val="20"/>
              </w:rPr>
              <w:t>--</w:t>
            </w:r>
          </w:p>
        </w:tc>
      </w:tr>
      <w:tr w:rsidR="006A4A2F" w:rsidRPr="00067FFE" w:rsidTr="00262264">
        <w:tc>
          <w:tcPr>
            <w:tcW w:w="1814" w:type="dxa"/>
          </w:tcPr>
          <w:p w:rsidR="006A4A2F" w:rsidRDefault="006A4A2F" w:rsidP="00B46062">
            <w:pPr>
              <w:jc w:val="center"/>
              <w:rPr>
                <w:sz w:val="20"/>
              </w:rPr>
            </w:pPr>
            <w:r>
              <w:rPr>
                <w:sz w:val="20"/>
              </w:rPr>
              <w:t>400.2110.130</w:t>
            </w:r>
          </w:p>
          <w:p w:rsidR="006A4A2F" w:rsidRDefault="006A4A2F" w:rsidP="00B46062">
            <w:pPr>
              <w:jc w:val="center"/>
              <w:rPr>
                <w:sz w:val="20"/>
              </w:rPr>
            </w:pPr>
          </w:p>
          <w:p w:rsidR="006A4A2F" w:rsidRDefault="006A4A2F" w:rsidP="00B46062">
            <w:pPr>
              <w:jc w:val="center"/>
              <w:rPr>
                <w:sz w:val="20"/>
              </w:rPr>
            </w:pPr>
            <w:r>
              <w:rPr>
                <w:sz w:val="20"/>
              </w:rPr>
              <w:t>KST 40256000</w:t>
            </w:r>
          </w:p>
        </w:tc>
        <w:tc>
          <w:tcPr>
            <w:tcW w:w="1815" w:type="dxa"/>
          </w:tcPr>
          <w:p w:rsidR="006A4A2F" w:rsidRDefault="006A4A2F" w:rsidP="00B46062">
            <w:pPr>
              <w:rPr>
                <w:sz w:val="20"/>
              </w:rPr>
            </w:pPr>
            <w:r>
              <w:rPr>
                <w:sz w:val="20"/>
              </w:rPr>
              <w:t>Schulverwa</w:t>
            </w:r>
            <w:r>
              <w:rPr>
                <w:sz w:val="20"/>
              </w:rPr>
              <w:t>l</w:t>
            </w:r>
            <w:r>
              <w:rPr>
                <w:sz w:val="20"/>
              </w:rPr>
              <w:t>tungsamt</w:t>
            </w:r>
          </w:p>
        </w:tc>
        <w:tc>
          <w:tcPr>
            <w:tcW w:w="680" w:type="dxa"/>
          </w:tcPr>
          <w:p w:rsidR="006A4A2F" w:rsidRDefault="006A4A2F" w:rsidP="00B46062">
            <w:pPr>
              <w:jc w:val="center"/>
              <w:rPr>
                <w:sz w:val="20"/>
              </w:rPr>
            </w:pPr>
            <w:r>
              <w:rPr>
                <w:sz w:val="20"/>
              </w:rPr>
              <w:t>EG 11</w:t>
            </w:r>
          </w:p>
        </w:tc>
        <w:tc>
          <w:tcPr>
            <w:tcW w:w="1872" w:type="dxa"/>
          </w:tcPr>
          <w:p w:rsidR="006A4A2F" w:rsidRPr="006E0575" w:rsidRDefault="006A4A2F" w:rsidP="00B46062">
            <w:pPr>
              <w:rPr>
                <w:sz w:val="20"/>
              </w:rPr>
            </w:pPr>
            <w:r>
              <w:rPr>
                <w:sz w:val="20"/>
              </w:rPr>
              <w:t>Architekt/-in</w:t>
            </w:r>
          </w:p>
        </w:tc>
        <w:tc>
          <w:tcPr>
            <w:tcW w:w="708" w:type="dxa"/>
            <w:shd w:val="pct12" w:color="auto" w:fill="FFFFFF"/>
          </w:tcPr>
          <w:p w:rsidR="006A4A2F" w:rsidRDefault="006A4A2F" w:rsidP="00B46062">
            <w:pPr>
              <w:jc w:val="center"/>
              <w:rPr>
                <w:sz w:val="20"/>
              </w:rPr>
            </w:pPr>
            <w:r>
              <w:rPr>
                <w:sz w:val="20"/>
              </w:rPr>
              <w:t>0,125</w:t>
            </w:r>
          </w:p>
        </w:tc>
        <w:tc>
          <w:tcPr>
            <w:tcW w:w="993" w:type="dxa"/>
          </w:tcPr>
          <w:p w:rsidR="006A4A2F" w:rsidRDefault="006A4A2F" w:rsidP="00027EF2">
            <w:pPr>
              <w:jc w:val="center"/>
              <w:rPr>
                <w:sz w:val="20"/>
              </w:rPr>
            </w:pPr>
            <w:r>
              <w:rPr>
                <w:sz w:val="20"/>
              </w:rPr>
              <w:t>KW 01/2018</w:t>
            </w:r>
          </w:p>
          <w:p w:rsidR="006A4A2F" w:rsidRDefault="006A4A2F" w:rsidP="00027EF2">
            <w:pPr>
              <w:jc w:val="center"/>
              <w:rPr>
                <w:sz w:val="20"/>
              </w:rPr>
            </w:pPr>
            <w:r>
              <w:rPr>
                <w:sz w:val="20"/>
              </w:rPr>
              <w:t>neu:</w:t>
            </w:r>
          </w:p>
          <w:p w:rsidR="006A4A2F" w:rsidRDefault="006A4A2F" w:rsidP="00027EF2">
            <w:pPr>
              <w:jc w:val="center"/>
              <w:rPr>
                <w:sz w:val="20"/>
              </w:rPr>
            </w:pPr>
            <w:r w:rsidRPr="00027EF2">
              <w:rPr>
                <w:b/>
                <w:sz w:val="20"/>
              </w:rPr>
              <w:t>KW 01/2020</w:t>
            </w:r>
          </w:p>
        </w:tc>
        <w:tc>
          <w:tcPr>
            <w:tcW w:w="1643" w:type="dxa"/>
          </w:tcPr>
          <w:p w:rsidR="006A4A2F" w:rsidRDefault="006A4A2F" w:rsidP="00B46062">
            <w:pPr>
              <w:jc w:val="center"/>
              <w:rPr>
                <w:sz w:val="20"/>
              </w:rPr>
            </w:pPr>
          </w:p>
          <w:p w:rsidR="00B46062" w:rsidRPr="00067FFE" w:rsidRDefault="00B46062" w:rsidP="00B46062">
            <w:pPr>
              <w:jc w:val="center"/>
              <w:rPr>
                <w:sz w:val="20"/>
              </w:rPr>
            </w:pPr>
            <w:r>
              <w:rPr>
                <w:sz w:val="20"/>
              </w:rPr>
              <w:t>--</w:t>
            </w:r>
          </w:p>
        </w:tc>
      </w:tr>
      <w:tr w:rsidR="00B46062" w:rsidRPr="00B46062" w:rsidTr="00262264">
        <w:tc>
          <w:tcPr>
            <w:tcW w:w="1814" w:type="dxa"/>
          </w:tcPr>
          <w:p w:rsidR="00B46062" w:rsidRPr="00B46062" w:rsidRDefault="00B46062" w:rsidP="00B46062">
            <w:pPr>
              <w:jc w:val="center"/>
              <w:rPr>
                <w:b/>
                <w:sz w:val="20"/>
              </w:rPr>
            </w:pPr>
          </w:p>
        </w:tc>
        <w:tc>
          <w:tcPr>
            <w:tcW w:w="1815" w:type="dxa"/>
          </w:tcPr>
          <w:p w:rsidR="00B46062" w:rsidRPr="00B46062" w:rsidRDefault="00B46062" w:rsidP="00B46062">
            <w:pPr>
              <w:rPr>
                <w:b/>
                <w:sz w:val="20"/>
              </w:rPr>
            </w:pPr>
          </w:p>
        </w:tc>
        <w:tc>
          <w:tcPr>
            <w:tcW w:w="680" w:type="dxa"/>
          </w:tcPr>
          <w:p w:rsidR="00B46062" w:rsidRPr="00B46062" w:rsidRDefault="00B46062" w:rsidP="00B46062">
            <w:pPr>
              <w:jc w:val="center"/>
              <w:rPr>
                <w:b/>
                <w:sz w:val="20"/>
              </w:rPr>
            </w:pPr>
          </w:p>
        </w:tc>
        <w:tc>
          <w:tcPr>
            <w:tcW w:w="1872" w:type="dxa"/>
          </w:tcPr>
          <w:p w:rsidR="00B46062" w:rsidRPr="00B46062" w:rsidRDefault="00B46062" w:rsidP="00B46062">
            <w:pPr>
              <w:rPr>
                <w:b/>
                <w:sz w:val="20"/>
              </w:rPr>
            </w:pPr>
            <w:r w:rsidRPr="00B46062">
              <w:rPr>
                <w:b/>
                <w:sz w:val="20"/>
              </w:rPr>
              <w:t>Summe</w:t>
            </w:r>
          </w:p>
        </w:tc>
        <w:tc>
          <w:tcPr>
            <w:tcW w:w="708" w:type="dxa"/>
            <w:shd w:val="pct12" w:color="auto" w:fill="FFFFFF"/>
          </w:tcPr>
          <w:p w:rsidR="00B46062" w:rsidRPr="00B46062" w:rsidRDefault="00B46062" w:rsidP="00B46062">
            <w:pPr>
              <w:jc w:val="center"/>
              <w:rPr>
                <w:b/>
                <w:sz w:val="20"/>
              </w:rPr>
            </w:pPr>
            <w:r w:rsidRPr="00B46062">
              <w:rPr>
                <w:b/>
                <w:sz w:val="20"/>
              </w:rPr>
              <w:t>4,0</w:t>
            </w:r>
          </w:p>
        </w:tc>
        <w:tc>
          <w:tcPr>
            <w:tcW w:w="993" w:type="dxa"/>
          </w:tcPr>
          <w:p w:rsidR="00B46062" w:rsidRPr="00B46062" w:rsidRDefault="00B46062" w:rsidP="00027EF2">
            <w:pPr>
              <w:jc w:val="center"/>
              <w:rPr>
                <w:b/>
                <w:sz w:val="20"/>
              </w:rPr>
            </w:pPr>
          </w:p>
        </w:tc>
        <w:tc>
          <w:tcPr>
            <w:tcW w:w="1643" w:type="dxa"/>
          </w:tcPr>
          <w:p w:rsidR="00B46062" w:rsidRPr="00B46062" w:rsidRDefault="00B46062" w:rsidP="00B46062">
            <w:pPr>
              <w:jc w:val="center"/>
              <w:rPr>
                <w:b/>
                <w:sz w:val="20"/>
              </w:rPr>
            </w:pPr>
          </w:p>
        </w:tc>
      </w:tr>
    </w:tbl>
    <w:p w:rsidR="00744608" w:rsidRDefault="00744608"/>
    <w:p w:rsidR="00262264" w:rsidRDefault="00262264" w:rsidP="00262264">
      <w:pPr>
        <w:pStyle w:val="berschrift2"/>
      </w:pPr>
      <w:r w:rsidRPr="00666CE4">
        <w:t>Be</w:t>
      </w:r>
      <w:r w:rsidRPr="00666CE4">
        <w:rPr>
          <w:u w:val="none"/>
        </w:rPr>
        <w:t>g</w:t>
      </w:r>
      <w:r w:rsidRPr="00666CE4">
        <w:t>ründun</w:t>
      </w:r>
      <w:r w:rsidRPr="00666CE4">
        <w:rPr>
          <w:u w:val="none"/>
        </w:rPr>
        <w:t>g</w:t>
      </w:r>
      <w:r w:rsidRPr="00666CE4">
        <w:t>:</w:t>
      </w:r>
    </w:p>
    <w:p w:rsidR="00027EF2" w:rsidRDefault="00027EF2" w:rsidP="00027EF2"/>
    <w:p w:rsidR="006A4A2F" w:rsidRDefault="006A4A2F" w:rsidP="006A4A2F">
      <w:pPr>
        <w:rPr>
          <w:rFonts w:cs="Arial"/>
          <w:szCs w:val="24"/>
        </w:rPr>
      </w:pPr>
      <w:r>
        <w:t xml:space="preserve">Die o. a. Stellen mit KW-Vermerken wurden in den vergangenen Jahren zur Deckung des </w:t>
      </w:r>
      <w:r>
        <w:rPr>
          <w:rFonts w:cs="Arial"/>
          <w:szCs w:val="24"/>
        </w:rPr>
        <w:t>im Zusammenhang mit den Prüfaufträgen aus dem Projekt „Schulentwicklung</w:t>
      </w:r>
      <w:r>
        <w:rPr>
          <w:rFonts w:cs="Arial"/>
          <w:szCs w:val="24"/>
        </w:rPr>
        <w:t>s</w:t>
      </w:r>
      <w:r>
        <w:rPr>
          <w:rFonts w:cs="Arial"/>
          <w:szCs w:val="24"/>
        </w:rPr>
        <w:t>planung Allgemeinbildende Schulen“ entstandenen Personalbedarfs bewilligt. Sie werden im Sachgebiet 40-2.5 (das im Jahr 2014 durch Aufteilung des Sachgebiets 40-2.1 neu geschaffenen wurde) für die Prüfung, Weiterentwicklung und Umsetzung der notwendigen baulichen Maßnahmen für die vom Gemeinderat beschlossenen Handlungsempfehlungen eingesetzt. Es hat sich in diesem Zusammenhang bereits frühzeitig gezeigt, dass die dringend notwendige organisatorische, inhaltliche und insbesondere auch bauliche Weiterentwicklung der Stuttgarter Schulen einen a</w:t>
      </w:r>
      <w:r>
        <w:rPr>
          <w:rFonts w:cs="Arial"/>
          <w:szCs w:val="24"/>
        </w:rPr>
        <w:t>r</w:t>
      </w:r>
      <w:r>
        <w:rPr>
          <w:rFonts w:cs="Arial"/>
          <w:szCs w:val="24"/>
        </w:rPr>
        <w:t>beitsaufwendigen Prozess darstellt, der entsprechend langfristig und nachhaltig pe</w:t>
      </w:r>
      <w:r>
        <w:rPr>
          <w:rFonts w:cs="Arial"/>
          <w:szCs w:val="24"/>
        </w:rPr>
        <w:t>r</w:t>
      </w:r>
      <w:r>
        <w:rPr>
          <w:rFonts w:cs="Arial"/>
          <w:szCs w:val="24"/>
        </w:rPr>
        <w:t>sonelle Ressourcen binden wird.</w:t>
      </w:r>
    </w:p>
    <w:p w:rsidR="006A4A2F" w:rsidRDefault="006A4A2F" w:rsidP="006A4A2F"/>
    <w:p w:rsidR="006A4A2F" w:rsidRDefault="006A4A2F" w:rsidP="006A4A2F">
      <w:r>
        <w:t>Aktuell werden im Sachgebiet 40-2.5 Projekte mit einem Gesamt-Investitionsvolumen von über 400 Mio</w:t>
      </w:r>
      <w:r w:rsidR="00B46062">
        <w:t>.</w:t>
      </w:r>
      <w:r>
        <w:t xml:space="preserve"> € bearbeitet. Darüber hinaus ist zu erwarten, dass im Rahmen der </w:t>
      </w:r>
      <w:r>
        <w:lastRenderedPageBreak/>
        <w:t>kommenden Haushaltsplanberatungen weitere Investitionsmaßnahmen beschlossen werden, die ebenfalls im Laufe der nächsten Jahre zu bearbeiten sind.</w:t>
      </w:r>
    </w:p>
    <w:p w:rsidR="006A4A2F" w:rsidRDefault="006A4A2F" w:rsidP="006A4A2F"/>
    <w:p w:rsidR="006A4A2F" w:rsidRDefault="006A4A2F" w:rsidP="006A4A2F">
      <w:pPr>
        <w:tabs>
          <w:tab w:val="left" w:pos="1985"/>
          <w:tab w:val="left" w:pos="4536"/>
          <w:tab w:val="right" w:pos="8505"/>
        </w:tabs>
        <w:rPr>
          <w:rFonts w:cs="Arial"/>
          <w:szCs w:val="24"/>
        </w:rPr>
      </w:pPr>
      <w:r>
        <w:rPr>
          <w:rFonts w:cs="Arial"/>
          <w:szCs w:val="24"/>
        </w:rPr>
        <w:t xml:space="preserve">Seit der Beschlussfassung des Schulentwicklungsplans 2011 haben sich zahlreiche </w:t>
      </w:r>
      <w:r w:rsidRPr="00B46062">
        <w:rPr>
          <w:rFonts w:cs="Arial"/>
          <w:szCs w:val="24"/>
        </w:rPr>
        <w:t>neue und zusätzliche bildungspolitische Handlungsfelder und Veränderungen</w:t>
      </w:r>
      <w:r>
        <w:rPr>
          <w:rFonts w:cs="Arial"/>
          <w:szCs w:val="24"/>
        </w:rPr>
        <w:t xml:space="preserve"> erg</w:t>
      </w:r>
      <w:r>
        <w:rPr>
          <w:rFonts w:cs="Arial"/>
          <w:szCs w:val="24"/>
        </w:rPr>
        <w:t>e</w:t>
      </w:r>
      <w:r>
        <w:rPr>
          <w:rFonts w:cs="Arial"/>
          <w:szCs w:val="24"/>
        </w:rPr>
        <w:t>ben, die weit reichende Auswirkungen auf die öffentlichen Schulstandorte mit sich bringen. Dies umfasst unter anderem:</w:t>
      </w:r>
    </w:p>
    <w:p w:rsidR="006A4A2F" w:rsidRDefault="006A4A2F" w:rsidP="006A4A2F">
      <w:pPr>
        <w:tabs>
          <w:tab w:val="left" w:pos="1985"/>
          <w:tab w:val="left" w:pos="4536"/>
          <w:tab w:val="right" w:pos="8505"/>
        </w:tabs>
        <w:rPr>
          <w:rFonts w:cs="Arial"/>
          <w:szCs w:val="24"/>
        </w:rPr>
      </w:pPr>
    </w:p>
    <w:p w:rsidR="006A4A2F" w:rsidRPr="000A72F4" w:rsidRDefault="006A4A2F" w:rsidP="006A4A2F">
      <w:pPr>
        <w:pStyle w:val="Listenabsatz"/>
        <w:numPr>
          <w:ilvl w:val="0"/>
          <w:numId w:val="1"/>
        </w:numPr>
        <w:tabs>
          <w:tab w:val="left" w:pos="1985"/>
          <w:tab w:val="left" w:pos="4536"/>
          <w:tab w:val="right" w:pos="8505"/>
        </w:tabs>
        <w:rPr>
          <w:rFonts w:cs="Arial"/>
          <w:szCs w:val="24"/>
        </w:rPr>
      </w:pPr>
      <w:r w:rsidRPr="002D38B9">
        <w:rPr>
          <w:rFonts w:cs="Arial"/>
          <w:szCs w:val="24"/>
        </w:rPr>
        <w:t>Grundsatzbeschluss des Gemeinderats zum forcierten Ausbau von Ganztage</w:t>
      </w:r>
      <w:r w:rsidRPr="002D38B9">
        <w:rPr>
          <w:rFonts w:cs="Arial"/>
          <w:szCs w:val="24"/>
        </w:rPr>
        <w:t>s</w:t>
      </w:r>
      <w:r w:rsidRPr="002D38B9">
        <w:rPr>
          <w:rFonts w:cs="Arial"/>
          <w:szCs w:val="24"/>
        </w:rPr>
        <w:t>grundschulen</w:t>
      </w:r>
      <w:r>
        <w:rPr>
          <w:rFonts w:cs="Arial"/>
          <w:szCs w:val="24"/>
        </w:rPr>
        <w:t xml:space="preserve">: </w:t>
      </w:r>
      <w:r w:rsidRPr="000A72F4">
        <w:rPr>
          <w:rFonts w:cs="Arial"/>
          <w:szCs w:val="24"/>
        </w:rPr>
        <w:t xml:space="preserve">Räumliche Weiterentwicklung und </w:t>
      </w:r>
      <w:r>
        <w:rPr>
          <w:rFonts w:cs="Arial"/>
          <w:szCs w:val="24"/>
        </w:rPr>
        <w:t>ggf. Planung baulicher Erweit</w:t>
      </w:r>
      <w:r>
        <w:rPr>
          <w:rFonts w:cs="Arial"/>
          <w:szCs w:val="24"/>
        </w:rPr>
        <w:t>e</w:t>
      </w:r>
      <w:r>
        <w:rPr>
          <w:rFonts w:cs="Arial"/>
          <w:szCs w:val="24"/>
        </w:rPr>
        <w:t>rungen</w:t>
      </w:r>
      <w:r w:rsidRPr="000A72F4">
        <w:rPr>
          <w:rFonts w:cs="Arial"/>
          <w:szCs w:val="24"/>
        </w:rPr>
        <w:t xml:space="preserve"> von bis</w:t>
      </w:r>
      <w:r>
        <w:rPr>
          <w:rFonts w:cs="Arial"/>
          <w:szCs w:val="24"/>
        </w:rPr>
        <w:t xml:space="preserve"> zu</w:t>
      </w:r>
      <w:r w:rsidRPr="000A72F4">
        <w:rPr>
          <w:rFonts w:cs="Arial"/>
          <w:szCs w:val="24"/>
        </w:rPr>
        <w:t xml:space="preserve"> </w:t>
      </w:r>
      <w:r w:rsidRPr="000A72F4">
        <w:rPr>
          <w:rFonts w:cs="Arial"/>
          <w:b/>
          <w:szCs w:val="24"/>
        </w:rPr>
        <w:t>72 Grundschulen</w:t>
      </w:r>
    </w:p>
    <w:p w:rsidR="006A4A2F" w:rsidRDefault="006A4A2F" w:rsidP="006A4A2F">
      <w:pPr>
        <w:pStyle w:val="Listenabsatz"/>
        <w:numPr>
          <w:ilvl w:val="0"/>
          <w:numId w:val="1"/>
        </w:numPr>
        <w:tabs>
          <w:tab w:val="left" w:pos="1985"/>
          <w:tab w:val="left" w:pos="4536"/>
          <w:tab w:val="right" w:pos="8505"/>
        </w:tabs>
        <w:rPr>
          <w:rFonts w:cs="Arial"/>
          <w:szCs w:val="24"/>
        </w:rPr>
      </w:pPr>
      <w:r w:rsidRPr="002D38B9">
        <w:rPr>
          <w:rFonts w:cs="Arial"/>
          <w:szCs w:val="24"/>
        </w:rPr>
        <w:t>Wegfall der Verbindlichkeit der Grundschulempfehlung</w:t>
      </w:r>
      <w:r>
        <w:rPr>
          <w:rFonts w:cs="Arial"/>
          <w:szCs w:val="24"/>
        </w:rPr>
        <w:t xml:space="preserve"> mit der Notwendigkeit e</w:t>
      </w:r>
      <w:r>
        <w:rPr>
          <w:rFonts w:cs="Arial"/>
          <w:szCs w:val="24"/>
        </w:rPr>
        <w:t>i</w:t>
      </w:r>
      <w:r>
        <w:rPr>
          <w:rFonts w:cs="Arial"/>
          <w:szCs w:val="24"/>
        </w:rPr>
        <w:t xml:space="preserve">ner </w:t>
      </w:r>
      <w:r w:rsidRPr="002D38B9">
        <w:rPr>
          <w:rFonts w:cs="Arial"/>
          <w:szCs w:val="24"/>
        </w:rPr>
        <w:t xml:space="preserve"> grundsätzliche</w:t>
      </w:r>
      <w:r>
        <w:rPr>
          <w:rFonts w:cs="Arial"/>
          <w:szCs w:val="24"/>
        </w:rPr>
        <w:t>n</w:t>
      </w:r>
      <w:r w:rsidRPr="002D38B9">
        <w:rPr>
          <w:rFonts w:cs="Arial"/>
          <w:szCs w:val="24"/>
        </w:rPr>
        <w:t xml:space="preserve"> Neuausrichtung aller weiterführenden Schulstandorte</w:t>
      </w:r>
      <w:r>
        <w:rPr>
          <w:rFonts w:cs="Arial"/>
          <w:szCs w:val="24"/>
        </w:rPr>
        <w:t>:</w:t>
      </w:r>
    </w:p>
    <w:p w:rsidR="006A4A2F" w:rsidRPr="00E07F9F" w:rsidRDefault="006A4A2F" w:rsidP="006A4A2F">
      <w:pPr>
        <w:pStyle w:val="Listenabsatz"/>
        <w:numPr>
          <w:ilvl w:val="1"/>
          <w:numId w:val="1"/>
        </w:numPr>
        <w:tabs>
          <w:tab w:val="left" w:pos="1985"/>
          <w:tab w:val="left" w:pos="4536"/>
          <w:tab w:val="right" w:pos="8505"/>
        </w:tabs>
        <w:ind w:left="709"/>
        <w:rPr>
          <w:rFonts w:cs="Arial"/>
          <w:szCs w:val="24"/>
        </w:rPr>
      </w:pPr>
      <w:r w:rsidRPr="00E07F9F">
        <w:rPr>
          <w:rFonts w:cs="Arial"/>
          <w:szCs w:val="24"/>
        </w:rPr>
        <w:t xml:space="preserve">Aufhebung von bis dato </w:t>
      </w:r>
      <w:r w:rsidRPr="00E07F9F">
        <w:rPr>
          <w:rFonts w:cs="Arial"/>
          <w:b/>
          <w:szCs w:val="24"/>
        </w:rPr>
        <w:t>17 Werkrealschulen</w:t>
      </w:r>
      <w:r w:rsidRPr="00E07F9F">
        <w:rPr>
          <w:rFonts w:cs="Arial"/>
          <w:szCs w:val="24"/>
        </w:rPr>
        <w:t xml:space="preserve"> (</w:t>
      </w:r>
      <w:proofErr w:type="spellStart"/>
      <w:r w:rsidRPr="00E07F9F">
        <w:rPr>
          <w:rFonts w:cs="Arial"/>
          <w:szCs w:val="24"/>
        </w:rPr>
        <w:t>GRDrs</w:t>
      </w:r>
      <w:proofErr w:type="spellEnd"/>
      <w:r w:rsidRPr="00E07F9F">
        <w:rPr>
          <w:rFonts w:cs="Arial"/>
          <w:szCs w:val="24"/>
        </w:rPr>
        <w:t xml:space="preserve"> 902/2012 sowie 71/2014) </w:t>
      </w:r>
      <w:r>
        <w:rPr>
          <w:rFonts w:cs="Arial"/>
          <w:szCs w:val="24"/>
        </w:rPr>
        <w:t>und E</w:t>
      </w:r>
      <w:r w:rsidRPr="00E07F9F">
        <w:rPr>
          <w:rFonts w:cs="Arial"/>
          <w:szCs w:val="24"/>
        </w:rPr>
        <w:t>rarbeitung von Nachnutzungskonzepten für diese Standorte</w:t>
      </w:r>
    </w:p>
    <w:p w:rsidR="006A4A2F" w:rsidRPr="009C0680" w:rsidRDefault="006A4A2F" w:rsidP="006A4A2F">
      <w:pPr>
        <w:pStyle w:val="Listenabsatz"/>
        <w:numPr>
          <w:ilvl w:val="1"/>
          <w:numId w:val="1"/>
        </w:numPr>
        <w:tabs>
          <w:tab w:val="left" w:pos="1985"/>
          <w:tab w:val="left" w:pos="4536"/>
          <w:tab w:val="right" w:pos="8505"/>
        </w:tabs>
        <w:ind w:left="709"/>
        <w:rPr>
          <w:rFonts w:cs="Arial"/>
          <w:szCs w:val="24"/>
        </w:rPr>
      </w:pPr>
      <w:r>
        <w:rPr>
          <w:rFonts w:cs="Arial"/>
          <w:szCs w:val="24"/>
        </w:rPr>
        <w:t xml:space="preserve">Organisatorischer und baulicher Ausbau der Gymnasien für rund </w:t>
      </w:r>
      <w:r w:rsidRPr="009C0680">
        <w:rPr>
          <w:rFonts w:cs="Arial"/>
          <w:b/>
          <w:szCs w:val="24"/>
        </w:rPr>
        <w:t>1.000 z</w:t>
      </w:r>
      <w:r w:rsidRPr="009C0680">
        <w:rPr>
          <w:rFonts w:cs="Arial"/>
          <w:b/>
          <w:szCs w:val="24"/>
        </w:rPr>
        <w:t>u</w:t>
      </w:r>
      <w:r w:rsidRPr="009C0680">
        <w:rPr>
          <w:rFonts w:cs="Arial"/>
          <w:b/>
          <w:szCs w:val="24"/>
        </w:rPr>
        <w:t>sätzliche Schüler</w:t>
      </w:r>
      <w:r>
        <w:rPr>
          <w:rFonts w:cs="Arial"/>
          <w:szCs w:val="24"/>
        </w:rPr>
        <w:t xml:space="preserve"> allein in den vergangenen 5 Jahren</w:t>
      </w:r>
      <w:r w:rsidRPr="009C0680">
        <w:rPr>
          <w:rFonts w:cs="Arial"/>
          <w:szCs w:val="24"/>
        </w:rPr>
        <w:t xml:space="preserve"> </w:t>
      </w:r>
    </w:p>
    <w:p w:rsidR="006A4A2F" w:rsidRPr="00E07F9F" w:rsidRDefault="006A4A2F" w:rsidP="006A4A2F">
      <w:pPr>
        <w:pStyle w:val="Listenabsatz"/>
        <w:numPr>
          <w:ilvl w:val="0"/>
          <w:numId w:val="1"/>
        </w:numPr>
        <w:tabs>
          <w:tab w:val="left" w:pos="1985"/>
          <w:tab w:val="left" w:pos="4536"/>
          <w:tab w:val="right" w:pos="8505"/>
        </w:tabs>
        <w:rPr>
          <w:rFonts w:cs="Arial"/>
          <w:b/>
          <w:szCs w:val="24"/>
        </w:rPr>
      </w:pPr>
      <w:r w:rsidRPr="009C0680">
        <w:rPr>
          <w:rFonts w:cs="Arial"/>
          <w:szCs w:val="24"/>
        </w:rPr>
        <w:t>Einführung der Schulart Gemeinschaftsschule</w:t>
      </w:r>
      <w:r>
        <w:rPr>
          <w:rFonts w:cs="Arial"/>
          <w:szCs w:val="24"/>
        </w:rPr>
        <w:t xml:space="preserve"> und damit verbundene Neuausric</w:t>
      </w:r>
      <w:r>
        <w:rPr>
          <w:rFonts w:cs="Arial"/>
          <w:szCs w:val="24"/>
        </w:rPr>
        <w:t>h</w:t>
      </w:r>
      <w:r>
        <w:rPr>
          <w:rFonts w:cs="Arial"/>
          <w:szCs w:val="24"/>
        </w:rPr>
        <w:t xml:space="preserve">tung von bis dato bereits </w:t>
      </w:r>
      <w:r w:rsidRPr="00E07F9F">
        <w:rPr>
          <w:rFonts w:cs="Arial"/>
          <w:b/>
          <w:szCs w:val="24"/>
        </w:rPr>
        <w:t>6 Schulstandorten</w:t>
      </w:r>
    </w:p>
    <w:p w:rsidR="006A4A2F" w:rsidRDefault="006A4A2F" w:rsidP="006A4A2F">
      <w:pPr>
        <w:pStyle w:val="Listenabsatz"/>
        <w:numPr>
          <w:ilvl w:val="0"/>
          <w:numId w:val="1"/>
        </w:numPr>
      </w:pPr>
      <w:r w:rsidRPr="009C0680">
        <w:t>Beginn des Sanierungsprogramms Schulen mit zahlreichen Schnittstellen und Fragestellungen zur Zukunftsfähigkeit bestehender Schulgebäude bei anstehe</w:t>
      </w:r>
      <w:r w:rsidRPr="009C0680">
        <w:t>n</w:t>
      </w:r>
      <w:r w:rsidRPr="009C0680">
        <w:t>den Sanierungsmaßnahmen:</w:t>
      </w:r>
      <w:r>
        <w:t xml:space="preserve"> Bis dato </w:t>
      </w:r>
      <w:r w:rsidRPr="000A72F4">
        <w:rPr>
          <w:b/>
        </w:rPr>
        <w:t>33 beauftragte städtebauliche Machba</w:t>
      </w:r>
      <w:r w:rsidRPr="000A72F4">
        <w:rPr>
          <w:b/>
        </w:rPr>
        <w:t>r</w:t>
      </w:r>
      <w:r w:rsidRPr="000A72F4">
        <w:rPr>
          <w:b/>
        </w:rPr>
        <w:t>keitsstudien</w:t>
      </w:r>
      <w:r w:rsidRPr="000A72F4">
        <w:t xml:space="preserve"> mit </w:t>
      </w:r>
      <w:r>
        <w:t>darauf aufbauenden baulichen Sanierungs- oder Erweiterung</w:t>
      </w:r>
      <w:r>
        <w:t>s</w:t>
      </w:r>
      <w:r>
        <w:t>planungen</w:t>
      </w:r>
    </w:p>
    <w:p w:rsidR="006A4A2F" w:rsidRDefault="006A4A2F" w:rsidP="006A4A2F">
      <w:pPr>
        <w:pStyle w:val="Listenabsatz"/>
        <w:numPr>
          <w:ilvl w:val="0"/>
          <w:numId w:val="1"/>
        </w:numPr>
      </w:pPr>
      <w:r>
        <w:t>Novellierung der Schulbauförderrichtlinien mit Änderungen der Modellraumpr</w:t>
      </w:r>
      <w:r>
        <w:t>o</w:t>
      </w:r>
      <w:r>
        <w:t>gramme und entsprechenden Auswirkungen auf die schulischen Raumbedarfe</w:t>
      </w:r>
    </w:p>
    <w:p w:rsidR="006A4A2F" w:rsidRPr="009C0680" w:rsidRDefault="006A4A2F" w:rsidP="006A4A2F">
      <w:pPr>
        <w:pStyle w:val="Listenabsatz"/>
        <w:numPr>
          <w:ilvl w:val="0"/>
          <w:numId w:val="1"/>
        </w:numPr>
      </w:pPr>
      <w:r>
        <w:t>Entwicklung zukunftsweisender Raumkonzepte („Pädagogische Architektur“) und entsprechender räumlicher Strukturen für nachhaltige Schulbauten</w:t>
      </w:r>
    </w:p>
    <w:p w:rsidR="006A4A2F" w:rsidRPr="009C0680" w:rsidRDefault="006A4A2F" w:rsidP="006A4A2F">
      <w:pPr>
        <w:tabs>
          <w:tab w:val="left" w:pos="1985"/>
          <w:tab w:val="left" w:pos="4536"/>
          <w:tab w:val="right" w:pos="8505"/>
        </w:tabs>
        <w:rPr>
          <w:rFonts w:cs="Arial"/>
          <w:szCs w:val="24"/>
        </w:rPr>
      </w:pPr>
    </w:p>
    <w:p w:rsidR="006A4A2F" w:rsidRDefault="006A4A2F" w:rsidP="006A4A2F">
      <w:r w:rsidRPr="009C0680">
        <w:t xml:space="preserve">Vor dem Hintergrund dieser zusätzlichen </w:t>
      </w:r>
      <w:r>
        <w:t>Handlungsfelder</w:t>
      </w:r>
      <w:r w:rsidRPr="009C0680">
        <w:t xml:space="preserve"> muss die Stuttgarter Schullandschaft noch grundlegender an die neuen Gegebenheiten angepasst we</w:t>
      </w:r>
      <w:r w:rsidRPr="009C0680">
        <w:t>r</w:t>
      </w:r>
      <w:r w:rsidRPr="009C0680">
        <w:t>den, als dies im Zuge des Schulentwicklungsplans bereits aufgezeigt wurde.</w:t>
      </w:r>
      <w:r>
        <w:t xml:space="preserve"> Ang</w:t>
      </w:r>
      <w:r>
        <w:t>e</w:t>
      </w:r>
      <w:r>
        <w:t>sichts dieser Vielfalt an Themen und Maßnahmen können diese Prozesse in vielen Fällen nur sukzessive bearbeitet werden, so dass die betreffenden Stellen im Schu</w:t>
      </w:r>
      <w:r>
        <w:t>l</w:t>
      </w:r>
      <w:r>
        <w:t>verwaltungsamt mindestens bis Ende des Jahres 2019 benötigt werden.</w:t>
      </w:r>
    </w:p>
    <w:p w:rsidR="006A4A2F" w:rsidRDefault="006A4A2F" w:rsidP="006A4A2F"/>
    <w:p w:rsidR="006A4A2F" w:rsidRDefault="006A4A2F" w:rsidP="006A4A2F"/>
    <w:p w:rsidR="00027EF2" w:rsidRDefault="00027EF2" w:rsidP="006A4A2F">
      <w:pPr>
        <w:tabs>
          <w:tab w:val="left" w:pos="1985"/>
          <w:tab w:val="left" w:pos="4536"/>
          <w:tab w:val="right" w:pos="8505"/>
        </w:tabs>
      </w:pPr>
    </w:p>
    <w:sectPr w:rsidR="00027EF2" w:rsidSect="0074460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21E1C"/>
    <w:multiLevelType w:val="hybridMultilevel"/>
    <w:tmpl w:val="C45EE248"/>
    <w:lvl w:ilvl="0" w:tplc="04070001">
      <w:start w:val="1"/>
      <w:numFmt w:val="bullet"/>
      <w:lvlText w:val=""/>
      <w:lvlJc w:val="left"/>
      <w:pPr>
        <w:ind w:left="360" w:hanging="360"/>
      </w:pPr>
      <w:rPr>
        <w:rFonts w:ascii="Symbol" w:hAnsi="Symbol" w:hint="default"/>
      </w:rPr>
    </w:lvl>
    <w:lvl w:ilvl="1" w:tplc="D130BA7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useFELayout/>
  </w:compat>
  <w:rsids>
    <w:rsidRoot w:val="00262264"/>
    <w:rsid w:val="00027EF2"/>
    <w:rsid w:val="001240F3"/>
    <w:rsid w:val="00251D27"/>
    <w:rsid w:val="00262264"/>
    <w:rsid w:val="00480BBB"/>
    <w:rsid w:val="006A4A2F"/>
    <w:rsid w:val="00744608"/>
    <w:rsid w:val="009079C9"/>
    <w:rsid w:val="00926DF9"/>
    <w:rsid w:val="00B46062"/>
    <w:rsid w:val="00BE58FE"/>
    <w:rsid w:val="00EA4437"/>
    <w:rsid w:val="00F7504C"/>
    <w:rsid w:val="00FC1A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2264"/>
    <w:pPr>
      <w:spacing w:after="0" w:line="240" w:lineRule="auto"/>
    </w:pPr>
    <w:rPr>
      <w:rFonts w:ascii="Arial" w:eastAsia="Times New Roman" w:hAnsi="Arial" w:cs="Times New Roman"/>
      <w:sz w:val="24"/>
      <w:szCs w:val="20"/>
    </w:rPr>
  </w:style>
  <w:style w:type="paragraph" w:styleId="berschrift2">
    <w:name w:val="heading 2"/>
    <w:basedOn w:val="Standard"/>
    <w:next w:val="Standard"/>
    <w:link w:val="berschrift2Zchn"/>
    <w:qFormat/>
    <w:rsid w:val="00262264"/>
    <w:pPr>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62264"/>
    <w:rPr>
      <w:rFonts w:ascii="Arial" w:eastAsia="Times New Roman" w:hAnsi="Arial" w:cs="Times New Roman"/>
      <w:b/>
      <w:sz w:val="24"/>
      <w:szCs w:val="20"/>
      <w:u w:val="single"/>
    </w:rPr>
  </w:style>
  <w:style w:type="paragraph" w:styleId="Listenabsatz">
    <w:name w:val="List Paragraph"/>
    <w:basedOn w:val="Standard"/>
    <w:uiPriority w:val="34"/>
    <w:qFormat/>
    <w:rsid w:val="00027EF2"/>
    <w:pPr>
      <w:ind w:left="720"/>
      <w:contextualSpacing/>
    </w:pPr>
  </w:style>
  <w:style w:type="paragraph" w:styleId="Sprechblasentext">
    <w:name w:val="Balloon Text"/>
    <w:basedOn w:val="Standard"/>
    <w:link w:val="SprechblasentextZchn"/>
    <w:uiPriority w:val="99"/>
    <w:semiHidden/>
    <w:unhideWhenUsed/>
    <w:rsid w:val="001240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0F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u103011</dc:creator>
  <cp:keywords/>
  <dc:description/>
  <cp:lastModifiedBy>U103007</cp:lastModifiedBy>
  <cp:revision>4</cp:revision>
  <cp:lastPrinted>2015-09-15T16:08:00Z</cp:lastPrinted>
  <dcterms:created xsi:type="dcterms:W3CDTF">2015-09-08T08:26:00Z</dcterms:created>
  <dcterms:modified xsi:type="dcterms:W3CDTF">2015-09-15T16:09:00Z</dcterms:modified>
</cp:coreProperties>
</file>