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4" w:rsidRPr="00067FFE" w:rsidRDefault="00262264" w:rsidP="00262264">
      <w:pPr>
        <w:tabs>
          <w:tab w:val="left" w:pos="5812"/>
        </w:tabs>
        <w:jc w:val="right"/>
        <w:rPr>
          <w:szCs w:val="24"/>
        </w:rPr>
      </w:pPr>
      <w:r w:rsidRPr="00067FFE">
        <w:rPr>
          <w:szCs w:val="24"/>
        </w:rPr>
        <w:t xml:space="preserve">Anlage </w:t>
      </w:r>
      <w:r w:rsidR="003F30B2">
        <w:rPr>
          <w:szCs w:val="24"/>
        </w:rPr>
        <w:t>11</w:t>
      </w:r>
      <w:r w:rsidRPr="00067FFE">
        <w:rPr>
          <w:szCs w:val="24"/>
        </w:rPr>
        <w:t xml:space="preserve"> zur </w:t>
      </w:r>
      <w:proofErr w:type="spellStart"/>
      <w:r w:rsidRPr="00067FFE">
        <w:rPr>
          <w:szCs w:val="24"/>
        </w:rPr>
        <w:t>GRDrs</w:t>
      </w:r>
      <w:proofErr w:type="spellEnd"/>
      <w:r w:rsidRPr="00067FFE">
        <w:rPr>
          <w:szCs w:val="24"/>
        </w:rPr>
        <w:t xml:space="preserve"> </w:t>
      </w:r>
      <w:r w:rsidR="003F30B2">
        <w:rPr>
          <w:szCs w:val="24"/>
        </w:rPr>
        <w:t>798</w:t>
      </w:r>
      <w:r w:rsidRPr="00067FFE">
        <w:rPr>
          <w:szCs w:val="24"/>
        </w:rPr>
        <w:t>/</w:t>
      </w:r>
      <w:r w:rsidR="003F30B2">
        <w:rPr>
          <w:szCs w:val="24"/>
        </w:rPr>
        <w:t>2015</w:t>
      </w:r>
    </w:p>
    <w:p w:rsidR="00262264" w:rsidRDefault="00262264" w:rsidP="00262264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262264" w:rsidRPr="00067FFE" w:rsidRDefault="00262264" w:rsidP="00262264">
      <w:pPr>
        <w:tabs>
          <w:tab w:val="left" w:pos="6521"/>
        </w:tabs>
        <w:jc w:val="center"/>
        <w:rPr>
          <w:b/>
          <w:sz w:val="36"/>
          <w:u w:val="single"/>
        </w:rPr>
      </w:pPr>
      <w:r w:rsidRPr="00067FFE">
        <w:rPr>
          <w:b/>
          <w:sz w:val="36"/>
          <w:u w:val="single"/>
        </w:rPr>
        <w:t xml:space="preserve">Verlängerung von Stellenvermerken </w:t>
      </w:r>
      <w:r w:rsidRPr="00067FFE">
        <w:rPr>
          <w:b/>
          <w:sz w:val="36"/>
          <w:u w:val="single"/>
        </w:rPr>
        <w:br/>
        <w:t>zum Stellenplan 2016</w:t>
      </w:r>
    </w:p>
    <w:p w:rsidR="00262264" w:rsidRPr="00067FFE" w:rsidRDefault="00262264" w:rsidP="00262264"/>
    <w:p w:rsidR="00262264" w:rsidRPr="00067FFE" w:rsidRDefault="00262264" w:rsidP="00262264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815"/>
        <w:gridCol w:w="680"/>
        <w:gridCol w:w="1872"/>
        <w:gridCol w:w="708"/>
        <w:gridCol w:w="993"/>
        <w:gridCol w:w="1643"/>
      </w:tblGrid>
      <w:tr w:rsidR="00262264" w:rsidRPr="00067FFE" w:rsidTr="00262264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Org.-Einheit</w:t>
            </w:r>
            <w:r w:rsidRPr="00262264">
              <w:rPr>
                <w:sz w:val="20"/>
              </w:rPr>
              <w:br/>
              <w:t xml:space="preserve">(aut. </w:t>
            </w:r>
            <w:proofErr w:type="spellStart"/>
            <w:r w:rsidRPr="00262264">
              <w:rPr>
                <w:sz w:val="20"/>
              </w:rPr>
              <w:t>Stpl</w:t>
            </w:r>
            <w:proofErr w:type="spellEnd"/>
            <w:r w:rsidRPr="00262264">
              <w:rPr>
                <w:sz w:val="20"/>
              </w:rPr>
              <w:t>.),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br/>
              <w:t>Kostenstelle</w:t>
            </w:r>
          </w:p>
        </w:tc>
        <w:tc>
          <w:tcPr>
            <w:tcW w:w="1815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Amt</w:t>
            </w:r>
          </w:p>
        </w:tc>
        <w:tc>
          <w:tcPr>
            <w:tcW w:w="680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proofErr w:type="spellStart"/>
            <w:r w:rsidRPr="00262264">
              <w:rPr>
                <w:sz w:val="20"/>
              </w:rPr>
              <w:t>BesGr</w:t>
            </w:r>
            <w:proofErr w:type="spellEnd"/>
            <w:r w:rsidRPr="00262264">
              <w:rPr>
                <w:sz w:val="20"/>
              </w:rPr>
              <w:t>.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oder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Funktions</w:t>
            </w:r>
            <w:r>
              <w:rPr>
                <w:sz w:val="20"/>
              </w:rPr>
              <w:t>-</w:t>
            </w:r>
            <w:proofErr w:type="spellStart"/>
            <w:r w:rsidRPr="00262264">
              <w:rPr>
                <w:sz w:val="20"/>
              </w:rPr>
              <w:t>bezeichnung</w:t>
            </w:r>
            <w:proofErr w:type="spellEnd"/>
          </w:p>
        </w:tc>
        <w:tc>
          <w:tcPr>
            <w:tcW w:w="708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Anzahl</w:t>
            </w:r>
            <w:r w:rsidRPr="00262264">
              <w:rPr>
                <w:sz w:val="20"/>
              </w:rPr>
              <w:br/>
              <w:t>der</w:t>
            </w:r>
            <w:r w:rsidRPr="00262264">
              <w:rPr>
                <w:sz w:val="20"/>
              </w:rPr>
              <w:br/>
              <w:t>Stellen</w:t>
            </w:r>
          </w:p>
        </w:tc>
        <w:tc>
          <w:tcPr>
            <w:tcW w:w="993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Stellen-</w:t>
            </w:r>
            <w:r w:rsidRPr="00262264">
              <w:rPr>
                <w:sz w:val="20"/>
              </w:rPr>
              <w:br/>
              <w:t>vermerk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br/>
              <w:t>bisher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b/>
                <w:sz w:val="20"/>
              </w:rPr>
              <w:t>neu</w:t>
            </w:r>
          </w:p>
        </w:tc>
        <w:tc>
          <w:tcPr>
            <w:tcW w:w="1643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proofErr w:type="spellStart"/>
            <w:r w:rsidRPr="00262264">
              <w:rPr>
                <w:sz w:val="20"/>
              </w:rPr>
              <w:t>durchschnittl</w:t>
            </w:r>
            <w:proofErr w:type="spellEnd"/>
            <w:r w:rsidRPr="00262264">
              <w:rPr>
                <w:sz w:val="20"/>
              </w:rPr>
              <w:t>.</w:t>
            </w:r>
            <w:r w:rsidRPr="00262264">
              <w:rPr>
                <w:sz w:val="20"/>
              </w:rPr>
              <w:br/>
            </w:r>
            <w:proofErr w:type="spellStart"/>
            <w:r w:rsidRPr="00262264">
              <w:rPr>
                <w:sz w:val="20"/>
              </w:rPr>
              <w:t>jährl</w:t>
            </w:r>
            <w:proofErr w:type="spellEnd"/>
            <w:r w:rsidRPr="00262264">
              <w:rPr>
                <w:sz w:val="20"/>
              </w:rPr>
              <w:t>. kosten-</w:t>
            </w:r>
            <w:r w:rsidRPr="00262264">
              <w:rPr>
                <w:sz w:val="20"/>
              </w:rPr>
              <w:br/>
              <w:t>wirksamer</w:t>
            </w:r>
            <w:r w:rsidRPr="00262264">
              <w:rPr>
                <w:sz w:val="20"/>
              </w:rPr>
              <w:br/>
              <w:t>Aufwand</w:t>
            </w:r>
            <w:r w:rsidRPr="00262264">
              <w:rPr>
                <w:sz w:val="20"/>
              </w:rPr>
              <w:br/>
              <w:t>Euro</w:t>
            </w:r>
          </w:p>
        </w:tc>
      </w:tr>
      <w:tr w:rsidR="0079082A" w:rsidRPr="00067FFE" w:rsidTr="00262264">
        <w:tc>
          <w:tcPr>
            <w:tcW w:w="1814" w:type="dxa"/>
          </w:tcPr>
          <w:p w:rsidR="0079082A" w:rsidRDefault="0079082A" w:rsidP="00255A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400.2200.047</w:t>
            </w:r>
          </w:p>
          <w:p w:rsidR="0079082A" w:rsidRDefault="0079082A" w:rsidP="00255AD2">
            <w:pPr>
              <w:jc w:val="center"/>
              <w:rPr>
                <w:sz w:val="20"/>
              </w:rPr>
            </w:pPr>
          </w:p>
          <w:p w:rsidR="0079082A" w:rsidRPr="006E0575" w:rsidRDefault="0079082A" w:rsidP="00255A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KST 40226000</w:t>
            </w:r>
          </w:p>
        </w:tc>
        <w:tc>
          <w:tcPr>
            <w:tcW w:w="1815" w:type="dxa"/>
          </w:tcPr>
          <w:p w:rsidR="0079082A" w:rsidRPr="006E0575" w:rsidRDefault="0079082A" w:rsidP="00255AD2">
            <w:pPr>
              <w:rPr>
                <w:sz w:val="20"/>
              </w:rPr>
            </w:pPr>
            <w:r>
              <w:rPr>
                <w:sz w:val="20"/>
              </w:rPr>
              <w:t>Schulverwa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tungsamt</w:t>
            </w:r>
          </w:p>
        </w:tc>
        <w:tc>
          <w:tcPr>
            <w:tcW w:w="680" w:type="dxa"/>
          </w:tcPr>
          <w:p w:rsidR="0079082A" w:rsidRPr="006E0575" w:rsidRDefault="0079082A" w:rsidP="00255A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9</w:t>
            </w:r>
          </w:p>
        </w:tc>
        <w:tc>
          <w:tcPr>
            <w:tcW w:w="1872" w:type="dxa"/>
          </w:tcPr>
          <w:p w:rsidR="0079082A" w:rsidRDefault="0079082A" w:rsidP="00255AD2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79082A" w:rsidRPr="006E0575" w:rsidRDefault="0079082A" w:rsidP="00255AD2">
            <w:pPr>
              <w:rPr>
                <w:sz w:val="20"/>
              </w:rPr>
            </w:pPr>
            <w:r>
              <w:rPr>
                <w:sz w:val="20"/>
              </w:rPr>
              <w:t>Schuleinrichtung</w:t>
            </w:r>
          </w:p>
        </w:tc>
        <w:tc>
          <w:tcPr>
            <w:tcW w:w="708" w:type="dxa"/>
            <w:shd w:val="pct12" w:color="auto" w:fill="FFFFFF"/>
          </w:tcPr>
          <w:p w:rsidR="0079082A" w:rsidRPr="006E0575" w:rsidRDefault="0079082A" w:rsidP="00255A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3" w:type="dxa"/>
          </w:tcPr>
          <w:p w:rsidR="0079082A" w:rsidRDefault="0079082A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01/2018</w:t>
            </w:r>
          </w:p>
          <w:p w:rsidR="0079082A" w:rsidRDefault="0079082A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neu:</w:t>
            </w:r>
          </w:p>
          <w:p w:rsidR="0079082A" w:rsidRPr="00027EF2" w:rsidRDefault="0079082A" w:rsidP="003755D5">
            <w:pPr>
              <w:jc w:val="center"/>
              <w:rPr>
                <w:b/>
                <w:sz w:val="20"/>
              </w:rPr>
            </w:pPr>
            <w:r w:rsidRPr="00027EF2">
              <w:rPr>
                <w:b/>
                <w:sz w:val="20"/>
              </w:rPr>
              <w:t>KW 01/2020</w:t>
            </w:r>
          </w:p>
        </w:tc>
        <w:tc>
          <w:tcPr>
            <w:tcW w:w="1643" w:type="dxa"/>
          </w:tcPr>
          <w:p w:rsidR="0079082A" w:rsidRDefault="0079082A" w:rsidP="00FD57A5">
            <w:pPr>
              <w:jc w:val="center"/>
              <w:rPr>
                <w:sz w:val="20"/>
              </w:rPr>
            </w:pPr>
          </w:p>
          <w:p w:rsidR="003F30B2" w:rsidRPr="006E0575" w:rsidRDefault="003F30B2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9082A" w:rsidRPr="00067FFE" w:rsidTr="00262264">
        <w:tc>
          <w:tcPr>
            <w:tcW w:w="1814" w:type="dxa"/>
          </w:tcPr>
          <w:p w:rsidR="0079082A" w:rsidRDefault="0079082A" w:rsidP="00255A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400.2200.002</w:t>
            </w:r>
          </w:p>
          <w:p w:rsidR="0079082A" w:rsidRDefault="0079082A" w:rsidP="00255AD2">
            <w:pPr>
              <w:jc w:val="center"/>
              <w:rPr>
                <w:sz w:val="20"/>
              </w:rPr>
            </w:pPr>
          </w:p>
          <w:p w:rsidR="0079082A" w:rsidRDefault="0079082A" w:rsidP="00255A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KST 40226000</w:t>
            </w:r>
          </w:p>
        </w:tc>
        <w:tc>
          <w:tcPr>
            <w:tcW w:w="1815" w:type="dxa"/>
          </w:tcPr>
          <w:p w:rsidR="0079082A" w:rsidRDefault="0079082A" w:rsidP="00255AD2">
            <w:pPr>
              <w:rPr>
                <w:sz w:val="20"/>
              </w:rPr>
            </w:pPr>
            <w:r>
              <w:rPr>
                <w:sz w:val="20"/>
              </w:rPr>
              <w:t>Schulverwa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tungsamt</w:t>
            </w:r>
          </w:p>
        </w:tc>
        <w:tc>
          <w:tcPr>
            <w:tcW w:w="680" w:type="dxa"/>
          </w:tcPr>
          <w:p w:rsidR="0079082A" w:rsidRDefault="0079082A" w:rsidP="00255A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872" w:type="dxa"/>
          </w:tcPr>
          <w:p w:rsidR="0079082A" w:rsidRDefault="0079082A" w:rsidP="00255AD2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79082A" w:rsidRDefault="0079082A" w:rsidP="00255AD2">
            <w:pPr>
              <w:rPr>
                <w:sz w:val="20"/>
              </w:rPr>
            </w:pPr>
            <w:r>
              <w:rPr>
                <w:sz w:val="20"/>
              </w:rPr>
              <w:t>Schuleinrichtung</w:t>
            </w:r>
          </w:p>
        </w:tc>
        <w:tc>
          <w:tcPr>
            <w:tcW w:w="708" w:type="dxa"/>
            <w:shd w:val="pct12" w:color="auto" w:fill="FFFFFF"/>
          </w:tcPr>
          <w:p w:rsidR="0079082A" w:rsidRDefault="0079082A" w:rsidP="00255A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3" w:type="dxa"/>
          </w:tcPr>
          <w:p w:rsidR="0079082A" w:rsidRDefault="0079082A" w:rsidP="00027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01/2018</w:t>
            </w:r>
          </w:p>
          <w:p w:rsidR="0079082A" w:rsidRDefault="0079082A" w:rsidP="00027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neu:</w:t>
            </w:r>
          </w:p>
          <w:p w:rsidR="0079082A" w:rsidRDefault="0079082A" w:rsidP="00027EF2">
            <w:pPr>
              <w:jc w:val="center"/>
              <w:rPr>
                <w:sz w:val="20"/>
              </w:rPr>
            </w:pPr>
            <w:r w:rsidRPr="00027EF2">
              <w:rPr>
                <w:b/>
                <w:sz w:val="20"/>
              </w:rPr>
              <w:t>KW 01/2020</w:t>
            </w:r>
          </w:p>
        </w:tc>
        <w:tc>
          <w:tcPr>
            <w:tcW w:w="1643" w:type="dxa"/>
          </w:tcPr>
          <w:p w:rsidR="0079082A" w:rsidRDefault="0079082A" w:rsidP="00625399">
            <w:pPr>
              <w:jc w:val="center"/>
              <w:rPr>
                <w:sz w:val="20"/>
              </w:rPr>
            </w:pPr>
          </w:p>
          <w:p w:rsidR="003F30B2" w:rsidRPr="00067FFE" w:rsidRDefault="003F30B2" w:rsidP="00625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744608" w:rsidRDefault="00744608"/>
    <w:p w:rsidR="00262264" w:rsidRDefault="00262264" w:rsidP="0026226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027EF2" w:rsidRDefault="00027EF2" w:rsidP="00027EF2"/>
    <w:p w:rsidR="0079082A" w:rsidRDefault="0079082A" w:rsidP="0079082A">
      <w:r>
        <w:t>Um einen wirtschaftlichen Ablauf der Sanierungs- und Neubauprojekte gewährleisten zu können, bildet die Einrichtungsplanung die Grundlage für das baulich Umzuse</w:t>
      </w:r>
      <w:r>
        <w:t>t</w:t>
      </w:r>
      <w:r>
        <w:t>zende. V</w:t>
      </w:r>
      <w:r w:rsidRPr="00F824E9">
        <w:t xml:space="preserve">erspätete oder unscharfe Vorplanungen </w:t>
      </w:r>
      <w:r>
        <w:t xml:space="preserve">wirken sich </w:t>
      </w:r>
      <w:r w:rsidRPr="00F824E9">
        <w:t>zeitlich und kostenm</w:t>
      </w:r>
      <w:r w:rsidRPr="00F824E9">
        <w:t>ä</w:t>
      </w:r>
      <w:r w:rsidRPr="00F824E9">
        <w:t xml:space="preserve">ßig negativ auf </w:t>
      </w:r>
      <w:r w:rsidRPr="003F30B2">
        <w:t xml:space="preserve">alle </w:t>
      </w:r>
      <w:r w:rsidRPr="00F824E9">
        <w:t>anderen Beteiligten des Gesamtprojekts aus.</w:t>
      </w:r>
      <w:r>
        <w:t xml:space="preserve"> Zur Entwicklung der Einrichtungsplanung steht eine erhebliche Anzahl an Planungs-, Beratungs- und A</w:t>
      </w:r>
      <w:r>
        <w:t>b</w:t>
      </w:r>
      <w:r>
        <w:t>stimmungsgesprächen an, bei denen schulische und außerschulische Partner, Pl</w:t>
      </w:r>
      <w:r>
        <w:t>a</w:t>
      </w:r>
      <w:r>
        <w:t>ner und Architekten einzubeziehen sind. Hierbei werden pädagogisch-inhaltliche und technische Anforderungen der Raumausstattung an die Gebäudeinfrastruktur unter wirtschaftlicher Betrachtung in ein Gesamtkonzept eingebunden, das dann die el</w:t>
      </w:r>
      <w:r>
        <w:t>e</w:t>
      </w:r>
      <w:r>
        <w:t xml:space="preserve">mentare Grundlage für die baulichen Realisierungen bildet. Je höher die Qualität der Vor- und Entwurfsplanung, desto geringere Folgekosten fallen für </w:t>
      </w:r>
      <w:proofErr w:type="spellStart"/>
      <w:r>
        <w:t>Umplanungen</w:t>
      </w:r>
      <w:proofErr w:type="spellEnd"/>
      <w:r>
        <w:t xml:space="preserve"> oder die Behebung von Fehlplanungen an.</w:t>
      </w:r>
    </w:p>
    <w:p w:rsidR="0079082A" w:rsidRDefault="0079082A" w:rsidP="0079082A"/>
    <w:p w:rsidR="0079082A" w:rsidRDefault="0079082A" w:rsidP="0079082A">
      <w:r>
        <w:t>Neben den laufenden Aufgaben müssen diese Einrichtungsplanungen für alle schul</w:t>
      </w:r>
      <w:r>
        <w:t>i</w:t>
      </w:r>
      <w:r>
        <w:t xml:space="preserve">schen Neubau-, Umbau- und Sanierungsprojekte erstellt werden. Um dies überhaupt möglich zu machen, wurden die </w:t>
      </w:r>
      <w:r w:rsidR="003F30B2">
        <w:t>1,5</w:t>
      </w:r>
      <w:r>
        <w:t xml:space="preserve"> Stellen mit Blick auf die Vielzahl an Projekten (Einzelvorhaben, Schulsanierungsprogramm) zusätzlich geschaffen.</w:t>
      </w:r>
    </w:p>
    <w:p w:rsidR="0079082A" w:rsidRDefault="0079082A" w:rsidP="0079082A">
      <w:r>
        <w:t>Seit der Stellenschaffung hat sich gezeigt, dass sowohl für das Schulsanierungspr</w:t>
      </w:r>
      <w:r>
        <w:t>o</w:t>
      </w:r>
      <w:r>
        <w:t>gramm als auch für zahlreiche Schulanlagen</w:t>
      </w:r>
      <w:r w:rsidR="008743F3">
        <w:t xml:space="preserve"> </w:t>
      </w:r>
      <w:r>
        <w:t>/</w:t>
      </w:r>
      <w:r w:rsidR="008743F3">
        <w:t xml:space="preserve"> </w:t>
      </w:r>
      <w:proofErr w:type="spellStart"/>
      <w:r w:rsidRPr="008743F3">
        <w:t>Campi</w:t>
      </w:r>
      <w:proofErr w:type="spellEnd"/>
      <w:r w:rsidR="008743F3" w:rsidRPr="008743F3">
        <w:t xml:space="preserve"> </w:t>
      </w:r>
      <w:r w:rsidR="00BE2F52" w:rsidRPr="008743F3">
        <w:t>/</w:t>
      </w:r>
      <w:r w:rsidR="008743F3">
        <w:rPr>
          <w:color w:val="FF0000"/>
        </w:rPr>
        <w:t xml:space="preserve"> </w:t>
      </w:r>
      <w:r w:rsidR="00BE2F52" w:rsidRPr="008743F3">
        <w:t>Weiterentwicklungen von Schulen zu Gemeinschaftsschulen etc.</w:t>
      </w:r>
      <w:r w:rsidRPr="008743F3">
        <w:t xml:space="preserve"> im Vorfeld umfängliche Planungen und Wir</w:t>
      </w:r>
      <w:r w:rsidRPr="008743F3">
        <w:t>t</w:t>
      </w:r>
      <w:r w:rsidRPr="008743F3">
        <w:t>schaftlichkeitsbetrachtungen (Sanierung, Umbau oder Neubau</w:t>
      </w:r>
      <w:r>
        <w:t>) angestellt werden müssen, was wiederum die Vorlaufzeit vor dem Einstieg in die Umsetzung erhöht. Hinzu kommen schließlich noch die verschiedenen Tranchen der Ganzt</w:t>
      </w:r>
      <w:r w:rsidR="008743F3">
        <w:t>a</w:t>
      </w:r>
      <w:r>
        <w:t>ges</w:t>
      </w:r>
      <w:r w:rsidR="008743F3">
        <w:t>-</w:t>
      </w:r>
      <w:r>
        <w:t>(</w:t>
      </w:r>
      <w:proofErr w:type="spellStart"/>
      <w:r>
        <w:t>grund</w:t>
      </w:r>
      <w:proofErr w:type="spellEnd"/>
      <w:r>
        <w:t>)schulen, für die ebenfalls die o.g. Planungsleistungen erbracht werden mü</w:t>
      </w:r>
      <w:r>
        <w:t>s</w:t>
      </w:r>
      <w:r>
        <w:t>sen.</w:t>
      </w:r>
    </w:p>
    <w:p w:rsidR="00027EF2" w:rsidRDefault="0079082A" w:rsidP="008743F3">
      <w:r>
        <w:t xml:space="preserve">Insgesamt betrachtet führt die Summe aller Einzelprojekte und deren Zeitschienen bis zur Realisierung dazu, dass die KW-Vermerke bei beiden Stellen auf KW </w:t>
      </w:r>
      <w:r w:rsidR="00BE2F52" w:rsidRPr="008743F3">
        <w:t>01/2020</w:t>
      </w:r>
      <w:r>
        <w:t xml:space="preserve"> verlängert werden müssen.</w:t>
      </w:r>
    </w:p>
    <w:sectPr w:rsidR="00027EF2" w:rsidSect="007446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1E1C"/>
    <w:multiLevelType w:val="hybridMultilevel"/>
    <w:tmpl w:val="C45EE2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30BA7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262264"/>
    <w:rsid w:val="00027EF2"/>
    <w:rsid w:val="00262264"/>
    <w:rsid w:val="003F30B2"/>
    <w:rsid w:val="00480BBB"/>
    <w:rsid w:val="006A3985"/>
    <w:rsid w:val="00744608"/>
    <w:rsid w:val="0079082A"/>
    <w:rsid w:val="008743F3"/>
    <w:rsid w:val="00926DF9"/>
    <w:rsid w:val="00990725"/>
    <w:rsid w:val="00AA3B9A"/>
    <w:rsid w:val="00BE2F52"/>
    <w:rsid w:val="00BE58FE"/>
    <w:rsid w:val="00D85D52"/>
    <w:rsid w:val="00EA4437"/>
    <w:rsid w:val="00F1632E"/>
    <w:rsid w:val="00FC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2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62264"/>
    <w:pPr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62264"/>
    <w:rPr>
      <w:rFonts w:ascii="Arial" w:eastAsia="Times New Roman" w:hAnsi="Arial" w:cs="Times New Roman"/>
      <w:b/>
      <w:sz w:val="24"/>
      <w:szCs w:val="20"/>
      <w:u w:val="single"/>
    </w:rPr>
  </w:style>
  <w:style w:type="paragraph" w:styleId="Listenabsatz">
    <w:name w:val="List Paragraph"/>
    <w:basedOn w:val="Standard"/>
    <w:uiPriority w:val="34"/>
    <w:qFormat/>
    <w:rsid w:val="00027E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0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0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2164</Characters>
  <Application>Microsoft Office Word</Application>
  <DocSecurity>0</DocSecurity>
  <Lines>18</Lines>
  <Paragraphs>5</Paragraphs>
  <ScaleCrop>false</ScaleCrop>
  <Company>Landeshauptstadt Stuttgart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u103011</dc:creator>
  <cp:lastModifiedBy>U103007</cp:lastModifiedBy>
  <cp:revision>3</cp:revision>
  <cp:lastPrinted>2015-09-15T15:43:00Z</cp:lastPrinted>
  <dcterms:created xsi:type="dcterms:W3CDTF">2015-09-11T08:46:00Z</dcterms:created>
  <dcterms:modified xsi:type="dcterms:W3CDTF">2015-09-15T15:44:00Z</dcterms:modified>
</cp:coreProperties>
</file>