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64" w:rsidRPr="00067FFE" w:rsidRDefault="00262264" w:rsidP="00262264">
      <w:pPr>
        <w:tabs>
          <w:tab w:val="left" w:pos="5812"/>
        </w:tabs>
        <w:jc w:val="right"/>
        <w:rPr>
          <w:szCs w:val="24"/>
        </w:rPr>
      </w:pPr>
      <w:r w:rsidRPr="00067FFE">
        <w:rPr>
          <w:szCs w:val="24"/>
        </w:rPr>
        <w:t xml:space="preserve">Anlage </w:t>
      </w:r>
      <w:r w:rsidR="003A4AC1">
        <w:rPr>
          <w:szCs w:val="24"/>
        </w:rPr>
        <w:t>1</w:t>
      </w:r>
      <w:r w:rsidR="00654100">
        <w:rPr>
          <w:szCs w:val="24"/>
        </w:rPr>
        <w:t>0</w:t>
      </w:r>
      <w:r w:rsidRPr="00067FFE">
        <w:rPr>
          <w:szCs w:val="24"/>
        </w:rPr>
        <w:t xml:space="preserve"> zur </w:t>
      </w:r>
      <w:proofErr w:type="spellStart"/>
      <w:r w:rsidRPr="00067FFE">
        <w:rPr>
          <w:szCs w:val="24"/>
        </w:rPr>
        <w:t>GRDrs</w:t>
      </w:r>
      <w:proofErr w:type="spellEnd"/>
      <w:r w:rsidRPr="00067FFE">
        <w:rPr>
          <w:szCs w:val="24"/>
        </w:rPr>
        <w:t xml:space="preserve"> </w:t>
      </w:r>
      <w:r w:rsidR="003A4AC1">
        <w:rPr>
          <w:szCs w:val="24"/>
        </w:rPr>
        <w:t>800</w:t>
      </w:r>
      <w:r w:rsidRPr="00067FFE">
        <w:rPr>
          <w:szCs w:val="24"/>
        </w:rPr>
        <w:t>/</w:t>
      </w:r>
      <w:r w:rsidR="003A4AC1">
        <w:rPr>
          <w:szCs w:val="24"/>
        </w:rPr>
        <w:t>2015</w:t>
      </w:r>
    </w:p>
    <w:p w:rsidR="00262264" w:rsidRDefault="00262264" w:rsidP="00262264">
      <w:pPr>
        <w:tabs>
          <w:tab w:val="left" w:pos="6521"/>
        </w:tabs>
        <w:jc w:val="center"/>
        <w:rPr>
          <w:b/>
          <w:sz w:val="36"/>
          <w:u w:val="single"/>
        </w:rPr>
      </w:pPr>
    </w:p>
    <w:p w:rsidR="00262264" w:rsidRPr="00067FFE" w:rsidRDefault="00262264" w:rsidP="00262264">
      <w:pPr>
        <w:tabs>
          <w:tab w:val="left" w:pos="6521"/>
        </w:tabs>
        <w:jc w:val="center"/>
        <w:rPr>
          <w:b/>
          <w:sz w:val="36"/>
          <w:u w:val="single"/>
        </w:rPr>
      </w:pPr>
      <w:r w:rsidRPr="00067FFE">
        <w:rPr>
          <w:b/>
          <w:sz w:val="36"/>
          <w:u w:val="single"/>
        </w:rPr>
        <w:t xml:space="preserve">Verlängerung </w:t>
      </w:r>
      <w:r w:rsidR="003A4AC1">
        <w:rPr>
          <w:b/>
          <w:sz w:val="36"/>
          <w:u w:val="single"/>
        </w:rPr>
        <w:t>eines</w:t>
      </w:r>
      <w:r w:rsidRPr="00067FFE">
        <w:rPr>
          <w:b/>
          <w:sz w:val="36"/>
          <w:u w:val="single"/>
        </w:rPr>
        <w:t xml:space="preserve"> Stellenvermerk</w:t>
      </w:r>
      <w:r w:rsidR="003A4AC1">
        <w:rPr>
          <w:b/>
          <w:sz w:val="36"/>
          <w:u w:val="single"/>
        </w:rPr>
        <w:t>s</w:t>
      </w:r>
      <w:r w:rsidRPr="00067FFE">
        <w:rPr>
          <w:b/>
          <w:sz w:val="36"/>
          <w:u w:val="single"/>
        </w:rPr>
        <w:t xml:space="preserve"> </w:t>
      </w:r>
      <w:r w:rsidRPr="00067FFE">
        <w:rPr>
          <w:b/>
          <w:sz w:val="36"/>
          <w:u w:val="single"/>
        </w:rPr>
        <w:br/>
        <w:t>zum Stellenplan 2016</w:t>
      </w:r>
    </w:p>
    <w:p w:rsidR="00262264" w:rsidRPr="00067FFE" w:rsidRDefault="00262264" w:rsidP="00262264"/>
    <w:p w:rsidR="00262264" w:rsidRPr="00067FFE" w:rsidRDefault="00262264" w:rsidP="00262264"/>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815"/>
        <w:gridCol w:w="680"/>
        <w:gridCol w:w="1872"/>
        <w:gridCol w:w="708"/>
        <w:gridCol w:w="993"/>
        <w:gridCol w:w="1643"/>
      </w:tblGrid>
      <w:tr w:rsidR="00262264" w:rsidRPr="00067FFE" w:rsidTr="00262264">
        <w:trPr>
          <w:tblHeader/>
        </w:trPr>
        <w:tc>
          <w:tcPr>
            <w:tcW w:w="1814" w:type="dxa"/>
            <w:shd w:val="pct12" w:color="auto" w:fill="FFFFFF"/>
            <w:vAlign w:val="center"/>
          </w:tcPr>
          <w:p w:rsidR="00262264" w:rsidRPr="00262264" w:rsidRDefault="00262264" w:rsidP="003A4AC1">
            <w:pPr>
              <w:spacing w:before="60" w:after="60" w:line="200" w:lineRule="exact"/>
              <w:ind w:left="-85" w:right="-85"/>
              <w:jc w:val="center"/>
              <w:rPr>
                <w:sz w:val="20"/>
              </w:rPr>
            </w:pPr>
            <w:r w:rsidRPr="00262264">
              <w:rPr>
                <w:sz w:val="20"/>
              </w:rPr>
              <w:t>Org.-Einheit</w:t>
            </w:r>
            <w:r w:rsidRPr="00262264">
              <w:rPr>
                <w:sz w:val="20"/>
              </w:rPr>
              <w:br/>
              <w:t xml:space="preserve">(aut. </w:t>
            </w:r>
            <w:proofErr w:type="spellStart"/>
            <w:r w:rsidRPr="00262264">
              <w:rPr>
                <w:sz w:val="20"/>
              </w:rPr>
              <w:t>Stpl</w:t>
            </w:r>
            <w:proofErr w:type="spellEnd"/>
            <w:r w:rsidRPr="00262264">
              <w:rPr>
                <w:sz w:val="20"/>
              </w:rPr>
              <w:t>.),</w:t>
            </w:r>
          </w:p>
          <w:p w:rsidR="00262264" w:rsidRPr="00262264" w:rsidRDefault="00262264" w:rsidP="003A4AC1">
            <w:pPr>
              <w:spacing w:before="60" w:after="60" w:line="200" w:lineRule="exact"/>
              <w:ind w:left="-85" w:right="-85"/>
              <w:jc w:val="center"/>
              <w:rPr>
                <w:sz w:val="20"/>
              </w:rPr>
            </w:pPr>
            <w:r w:rsidRPr="00262264">
              <w:rPr>
                <w:sz w:val="20"/>
              </w:rPr>
              <w:br/>
              <w:t>Kostenstelle</w:t>
            </w:r>
          </w:p>
        </w:tc>
        <w:tc>
          <w:tcPr>
            <w:tcW w:w="1815" w:type="dxa"/>
            <w:shd w:val="pct12" w:color="auto" w:fill="FFFFFF"/>
            <w:vAlign w:val="center"/>
          </w:tcPr>
          <w:p w:rsidR="00262264" w:rsidRPr="00262264" w:rsidRDefault="00262264" w:rsidP="003A4AC1">
            <w:pPr>
              <w:spacing w:before="60" w:after="60" w:line="200" w:lineRule="exact"/>
              <w:ind w:left="-85" w:right="-85"/>
              <w:jc w:val="center"/>
              <w:rPr>
                <w:sz w:val="20"/>
              </w:rPr>
            </w:pPr>
            <w:r w:rsidRPr="00262264">
              <w:rPr>
                <w:sz w:val="20"/>
              </w:rPr>
              <w:t>Amt</w:t>
            </w:r>
          </w:p>
        </w:tc>
        <w:tc>
          <w:tcPr>
            <w:tcW w:w="680" w:type="dxa"/>
            <w:shd w:val="pct12" w:color="auto" w:fill="FFFFFF"/>
            <w:vAlign w:val="center"/>
          </w:tcPr>
          <w:p w:rsidR="00262264" w:rsidRPr="00262264" w:rsidRDefault="00262264" w:rsidP="003A4AC1">
            <w:pPr>
              <w:spacing w:before="60" w:after="60" w:line="200" w:lineRule="exact"/>
              <w:ind w:left="-85" w:right="-85"/>
              <w:jc w:val="center"/>
              <w:rPr>
                <w:sz w:val="20"/>
              </w:rPr>
            </w:pPr>
            <w:proofErr w:type="spellStart"/>
            <w:r w:rsidRPr="00262264">
              <w:rPr>
                <w:sz w:val="20"/>
              </w:rPr>
              <w:t>BesGr</w:t>
            </w:r>
            <w:proofErr w:type="spellEnd"/>
            <w:r w:rsidRPr="00262264">
              <w:rPr>
                <w:sz w:val="20"/>
              </w:rPr>
              <w:t>.</w:t>
            </w:r>
          </w:p>
          <w:p w:rsidR="00262264" w:rsidRPr="00262264" w:rsidRDefault="00262264" w:rsidP="003A4AC1">
            <w:pPr>
              <w:spacing w:before="60" w:after="60" w:line="200" w:lineRule="exact"/>
              <w:ind w:left="-85" w:right="-85"/>
              <w:jc w:val="center"/>
              <w:rPr>
                <w:sz w:val="20"/>
              </w:rPr>
            </w:pPr>
            <w:r w:rsidRPr="00262264">
              <w:rPr>
                <w:sz w:val="20"/>
              </w:rPr>
              <w:t>oder</w:t>
            </w:r>
          </w:p>
          <w:p w:rsidR="00262264" w:rsidRPr="00262264" w:rsidRDefault="00262264" w:rsidP="003A4AC1">
            <w:pPr>
              <w:spacing w:before="60" w:after="60" w:line="200" w:lineRule="exact"/>
              <w:ind w:left="-85" w:right="-85"/>
              <w:jc w:val="center"/>
              <w:rPr>
                <w:sz w:val="20"/>
              </w:rPr>
            </w:pPr>
            <w:r w:rsidRPr="00262264">
              <w:rPr>
                <w:sz w:val="20"/>
              </w:rPr>
              <w:t>EG</w:t>
            </w:r>
          </w:p>
        </w:tc>
        <w:tc>
          <w:tcPr>
            <w:tcW w:w="1872" w:type="dxa"/>
            <w:shd w:val="pct12" w:color="auto" w:fill="FFFFFF"/>
            <w:vAlign w:val="center"/>
          </w:tcPr>
          <w:p w:rsidR="00262264" w:rsidRPr="00262264" w:rsidRDefault="00262264" w:rsidP="003A4AC1">
            <w:pPr>
              <w:spacing w:before="60" w:after="60" w:line="200" w:lineRule="exact"/>
              <w:ind w:left="-85" w:right="-85"/>
              <w:jc w:val="center"/>
              <w:rPr>
                <w:sz w:val="20"/>
              </w:rPr>
            </w:pPr>
            <w:r w:rsidRPr="00262264">
              <w:rPr>
                <w:sz w:val="20"/>
              </w:rPr>
              <w:t>Funktions</w:t>
            </w:r>
            <w:r>
              <w:rPr>
                <w:sz w:val="20"/>
              </w:rPr>
              <w:t>-</w:t>
            </w:r>
            <w:proofErr w:type="spellStart"/>
            <w:r w:rsidRPr="00262264">
              <w:rPr>
                <w:sz w:val="20"/>
              </w:rPr>
              <w:t>bezeichnung</w:t>
            </w:r>
            <w:proofErr w:type="spellEnd"/>
          </w:p>
        </w:tc>
        <w:tc>
          <w:tcPr>
            <w:tcW w:w="708" w:type="dxa"/>
            <w:shd w:val="pct12" w:color="auto" w:fill="FFFFFF"/>
            <w:vAlign w:val="center"/>
          </w:tcPr>
          <w:p w:rsidR="00262264" w:rsidRPr="00262264" w:rsidRDefault="00262264" w:rsidP="003A4AC1">
            <w:pPr>
              <w:spacing w:before="60" w:after="60" w:line="200" w:lineRule="exact"/>
              <w:ind w:left="-85" w:right="-85"/>
              <w:jc w:val="center"/>
              <w:rPr>
                <w:sz w:val="20"/>
              </w:rPr>
            </w:pPr>
            <w:r w:rsidRPr="00262264">
              <w:rPr>
                <w:sz w:val="20"/>
              </w:rPr>
              <w:t>Anzahl</w:t>
            </w:r>
            <w:r w:rsidRPr="00262264">
              <w:rPr>
                <w:sz w:val="20"/>
              </w:rPr>
              <w:br/>
              <w:t>der</w:t>
            </w:r>
            <w:r w:rsidRPr="00262264">
              <w:rPr>
                <w:sz w:val="20"/>
              </w:rPr>
              <w:br/>
              <w:t>Stellen</w:t>
            </w:r>
          </w:p>
        </w:tc>
        <w:tc>
          <w:tcPr>
            <w:tcW w:w="993" w:type="dxa"/>
            <w:shd w:val="pct12" w:color="auto" w:fill="FFFFFF"/>
            <w:vAlign w:val="center"/>
          </w:tcPr>
          <w:p w:rsidR="00262264" w:rsidRPr="00262264" w:rsidRDefault="00262264" w:rsidP="003A4AC1">
            <w:pPr>
              <w:spacing w:before="60" w:after="60" w:line="200" w:lineRule="exact"/>
              <w:ind w:left="-85" w:right="-85"/>
              <w:jc w:val="center"/>
              <w:rPr>
                <w:sz w:val="20"/>
              </w:rPr>
            </w:pPr>
            <w:r w:rsidRPr="00262264">
              <w:rPr>
                <w:sz w:val="20"/>
              </w:rPr>
              <w:t>Stellen-</w:t>
            </w:r>
            <w:r w:rsidRPr="00262264">
              <w:rPr>
                <w:sz w:val="20"/>
              </w:rPr>
              <w:br/>
              <w:t>vermerk</w:t>
            </w:r>
          </w:p>
          <w:p w:rsidR="00262264" w:rsidRPr="00262264" w:rsidRDefault="00262264" w:rsidP="003A4AC1">
            <w:pPr>
              <w:spacing w:before="60" w:after="60" w:line="200" w:lineRule="exact"/>
              <w:ind w:left="-85" w:right="-85"/>
              <w:jc w:val="center"/>
              <w:rPr>
                <w:sz w:val="20"/>
              </w:rPr>
            </w:pPr>
            <w:r w:rsidRPr="00262264">
              <w:rPr>
                <w:sz w:val="20"/>
              </w:rPr>
              <w:br/>
              <w:t>bisher</w:t>
            </w:r>
          </w:p>
          <w:p w:rsidR="00262264" w:rsidRPr="00262264" w:rsidRDefault="00262264" w:rsidP="003A4AC1">
            <w:pPr>
              <w:spacing w:before="60" w:after="60" w:line="200" w:lineRule="exact"/>
              <w:ind w:left="-85" w:right="-85"/>
              <w:jc w:val="center"/>
              <w:rPr>
                <w:sz w:val="20"/>
              </w:rPr>
            </w:pPr>
            <w:r w:rsidRPr="00262264">
              <w:rPr>
                <w:b/>
                <w:sz w:val="20"/>
              </w:rPr>
              <w:t>neu</w:t>
            </w:r>
          </w:p>
        </w:tc>
        <w:tc>
          <w:tcPr>
            <w:tcW w:w="1643" w:type="dxa"/>
            <w:shd w:val="pct12" w:color="auto" w:fill="FFFFFF"/>
            <w:vAlign w:val="center"/>
          </w:tcPr>
          <w:p w:rsidR="00262264" w:rsidRPr="00262264" w:rsidRDefault="00262264" w:rsidP="003A4AC1">
            <w:pPr>
              <w:spacing w:before="60" w:after="60" w:line="200" w:lineRule="exact"/>
              <w:ind w:left="-85" w:right="-85"/>
              <w:jc w:val="center"/>
              <w:rPr>
                <w:sz w:val="20"/>
              </w:rPr>
            </w:pPr>
            <w:proofErr w:type="spellStart"/>
            <w:r w:rsidRPr="00262264">
              <w:rPr>
                <w:sz w:val="20"/>
              </w:rPr>
              <w:t>durchschnittl</w:t>
            </w:r>
            <w:proofErr w:type="spellEnd"/>
            <w:r w:rsidRPr="00262264">
              <w:rPr>
                <w:sz w:val="20"/>
              </w:rPr>
              <w:t>.</w:t>
            </w:r>
            <w:r w:rsidRPr="00262264">
              <w:rPr>
                <w:sz w:val="20"/>
              </w:rPr>
              <w:br/>
            </w:r>
            <w:proofErr w:type="spellStart"/>
            <w:r w:rsidRPr="00262264">
              <w:rPr>
                <w:sz w:val="20"/>
              </w:rPr>
              <w:t>jährl</w:t>
            </w:r>
            <w:proofErr w:type="spellEnd"/>
            <w:r w:rsidRPr="00262264">
              <w:rPr>
                <w:sz w:val="20"/>
              </w:rPr>
              <w:t>. kosten-</w:t>
            </w:r>
            <w:r w:rsidRPr="00262264">
              <w:rPr>
                <w:sz w:val="20"/>
              </w:rPr>
              <w:br/>
              <w:t>wirksamer</w:t>
            </w:r>
            <w:r w:rsidRPr="00262264">
              <w:rPr>
                <w:sz w:val="20"/>
              </w:rPr>
              <w:br/>
              <w:t>Aufwand</w:t>
            </w:r>
            <w:r w:rsidRPr="00262264">
              <w:rPr>
                <w:sz w:val="20"/>
              </w:rPr>
              <w:br/>
              <w:t>Euro</w:t>
            </w:r>
          </w:p>
        </w:tc>
      </w:tr>
      <w:tr w:rsidR="00D5100D" w:rsidRPr="00067FFE" w:rsidTr="00262264">
        <w:tc>
          <w:tcPr>
            <w:tcW w:w="1814" w:type="dxa"/>
          </w:tcPr>
          <w:p w:rsidR="00D5100D" w:rsidRDefault="00D5100D" w:rsidP="003A4AC1">
            <w:pPr>
              <w:rPr>
                <w:sz w:val="20"/>
              </w:rPr>
            </w:pPr>
          </w:p>
          <w:p w:rsidR="00D5100D" w:rsidRDefault="00D5100D" w:rsidP="003A4AC1">
            <w:pPr>
              <w:rPr>
                <w:sz w:val="20"/>
              </w:rPr>
            </w:pPr>
            <w:r>
              <w:rPr>
                <w:sz w:val="20"/>
              </w:rPr>
              <w:t>610</w:t>
            </w:r>
            <w:r w:rsidR="00B97F09">
              <w:rPr>
                <w:sz w:val="20"/>
              </w:rPr>
              <w:t xml:space="preserve"> 0103 025</w:t>
            </w:r>
          </w:p>
          <w:p w:rsidR="00D5100D" w:rsidRDefault="00D5100D" w:rsidP="003A4AC1">
            <w:pPr>
              <w:rPr>
                <w:sz w:val="20"/>
              </w:rPr>
            </w:pPr>
          </w:p>
          <w:p w:rsidR="00D5100D" w:rsidRDefault="00D5100D" w:rsidP="003A4AC1">
            <w:pPr>
              <w:rPr>
                <w:sz w:val="20"/>
              </w:rPr>
            </w:pPr>
            <w:r>
              <w:rPr>
                <w:sz w:val="20"/>
              </w:rPr>
              <w:t>61131030</w:t>
            </w:r>
          </w:p>
          <w:p w:rsidR="00D5100D" w:rsidRPr="006E0575" w:rsidRDefault="00D5100D" w:rsidP="003A4AC1">
            <w:pPr>
              <w:rPr>
                <w:sz w:val="20"/>
              </w:rPr>
            </w:pPr>
          </w:p>
        </w:tc>
        <w:tc>
          <w:tcPr>
            <w:tcW w:w="1815" w:type="dxa"/>
          </w:tcPr>
          <w:p w:rsidR="00D5100D" w:rsidRDefault="00D5100D" w:rsidP="003A4AC1">
            <w:pPr>
              <w:rPr>
                <w:sz w:val="20"/>
              </w:rPr>
            </w:pPr>
          </w:p>
          <w:p w:rsidR="00D5100D" w:rsidRPr="006E0575" w:rsidRDefault="00D5100D" w:rsidP="003A4AC1">
            <w:pPr>
              <w:rPr>
                <w:sz w:val="20"/>
              </w:rPr>
            </w:pPr>
            <w:r>
              <w:rPr>
                <w:sz w:val="20"/>
              </w:rPr>
              <w:t>Amt für Stadtpl</w:t>
            </w:r>
            <w:r>
              <w:rPr>
                <w:sz w:val="20"/>
              </w:rPr>
              <w:t>a</w:t>
            </w:r>
            <w:r>
              <w:rPr>
                <w:sz w:val="20"/>
              </w:rPr>
              <w:t>nung und Stad</w:t>
            </w:r>
            <w:r>
              <w:rPr>
                <w:sz w:val="20"/>
              </w:rPr>
              <w:t>t</w:t>
            </w:r>
            <w:r>
              <w:rPr>
                <w:sz w:val="20"/>
              </w:rPr>
              <w:t>erneuerung</w:t>
            </w:r>
          </w:p>
        </w:tc>
        <w:tc>
          <w:tcPr>
            <w:tcW w:w="680" w:type="dxa"/>
          </w:tcPr>
          <w:p w:rsidR="00D5100D" w:rsidRDefault="00D5100D" w:rsidP="003A4AC1">
            <w:pPr>
              <w:jc w:val="center"/>
              <w:rPr>
                <w:sz w:val="20"/>
              </w:rPr>
            </w:pPr>
          </w:p>
          <w:p w:rsidR="00D5100D" w:rsidRPr="006E0575" w:rsidRDefault="00D5100D" w:rsidP="003A4AC1">
            <w:pPr>
              <w:jc w:val="center"/>
              <w:rPr>
                <w:sz w:val="20"/>
              </w:rPr>
            </w:pPr>
            <w:r>
              <w:rPr>
                <w:sz w:val="20"/>
              </w:rPr>
              <w:t>EG 12</w:t>
            </w:r>
          </w:p>
        </w:tc>
        <w:tc>
          <w:tcPr>
            <w:tcW w:w="1872" w:type="dxa"/>
          </w:tcPr>
          <w:p w:rsidR="00D5100D" w:rsidRDefault="00D5100D" w:rsidP="003A4AC1">
            <w:pPr>
              <w:rPr>
                <w:sz w:val="20"/>
              </w:rPr>
            </w:pPr>
          </w:p>
          <w:p w:rsidR="00D5100D" w:rsidRPr="006E0575" w:rsidRDefault="00D5100D" w:rsidP="003A4AC1">
            <w:pPr>
              <w:rPr>
                <w:sz w:val="20"/>
              </w:rPr>
            </w:pPr>
            <w:r>
              <w:rPr>
                <w:sz w:val="20"/>
              </w:rPr>
              <w:t>Stadtplaner/in</w:t>
            </w:r>
          </w:p>
        </w:tc>
        <w:tc>
          <w:tcPr>
            <w:tcW w:w="708" w:type="dxa"/>
            <w:shd w:val="pct12" w:color="auto" w:fill="FFFFFF"/>
          </w:tcPr>
          <w:p w:rsidR="00D5100D" w:rsidRDefault="00D5100D" w:rsidP="003A4AC1">
            <w:pPr>
              <w:jc w:val="center"/>
              <w:rPr>
                <w:sz w:val="20"/>
              </w:rPr>
            </w:pPr>
          </w:p>
          <w:p w:rsidR="00D5100D" w:rsidRPr="006E0575" w:rsidRDefault="00D5100D" w:rsidP="003A4AC1">
            <w:pPr>
              <w:jc w:val="center"/>
              <w:rPr>
                <w:sz w:val="20"/>
              </w:rPr>
            </w:pPr>
            <w:r>
              <w:rPr>
                <w:sz w:val="20"/>
              </w:rPr>
              <w:t>1,0</w:t>
            </w:r>
          </w:p>
        </w:tc>
        <w:tc>
          <w:tcPr>
            <w:tcW w:w="993" w:type="dxa"/>
          </w:tcPr>
          <w:p w:rsidR="00D5100D" w:rsidRDefault="00D5100D" w:rsidP="003A4AC1">
            <w:pPr>
              <w:jc w:val="center"/>
              <w:rPr>
                <w:sz w:val="20"/>
              </w:rPr>
            </w:pPr>
          </w:p>
          <w:p w:rsidR="00D5100D" w:rsidRDefault="003A4AC1" w:rsidP="003A4AC1">
            <w:pPr>
              <w:jc w:val="center"/>
              <w:rPr>
                <w:sz w:val="20"/>
              </w:rPr>
            </w:pPr>
            <w:r>
              <w:rPr>
                <w:sz w:val="20"/>
              </w:rPr>
              <w:t>KW</w:t>
            </w:r>
            <w:r w:rsidR="00D5100D">
              <w:rPr>
                <w:sz w:val="20"/>
              </w:rPr>
              <w:t xml:space="preserve"> 01/2016 </w:t>
            </w:r>
          </w:p>
          <w:p w:rsidR="00D5100D" w:rsidRPr="00341319" w:rsidRDefault="003A4AC1" w:rsidP="003A4AC1">
            <w:pPr>
              <w:jc w:val="center"/>
              <w:rPr>
                <w:b/>
                <w:sz w:val="20"/>
              </w:rPr>
            </w:pPr>
            <w:r>
              <w:rPr>
                <w:b/>
                <w:sz w:val="20"/>
              </w:rPr>
              <w:t>KW</w:t>
            </w:r>
            <w:r w:rsidR="00D5100D" w:rsidRPr="00341319">
              <w:rPr>
                <w:b/>
                <w:sz w:val="20"/>
              </w:rPr>
              <w:t xml:space="preserve"> </w:t>
            </w:r>
            <w:r w:rsidR="00D5100D">
              <w:rPr>
                <w:b/>
                <w:sz w:val="20"/>
              </w:rPr>
              <w:t>0</w:t>
            </w:r>
            <w:r w:rsidR="00D5100D" w:rsidRPr="00341319">
              <w:rPr>
                <w:b/>
                <w:sz w:val="20"/>
              </w:rPr>
              <w:t>1/2018</w:t>
            </w:r>
          </w:p>
        </w:tc>
        <w:tc>
          <w:tcPr>
            <w:tcW w:w="1643" w:type="dxa"/>
          </w:tcPr>
          <w:p w:rsidR="00D5100D" w:rsidRDefault="00D5100D" w:rsidP="003A4AC1">
            <w:pPr>
              <w:jc w:val="center"/>
              <w:rPr>
                <w:sz w:val="20"/>
              </w:rPr>
            </w:pPr>
          </w:p>
          <w:p w:rsidR="00D5100D" w:rsidRPr="006E0575" w:rsidRDefault="003A4AC1" w:rsidP="003A4AC1">
            <w:pPr>
              <w:jc w:val="center"/>
              <w:rPr>
                <w:sz w:val="20"/>
              </w:rPr>
            </w:pPr>
            <w:r>
              <w:rPr>
                <w:sz w:val="20"/>
              </w:rPr>
              <w:t>--</w:t>
            </w:r>
          </w:p>
        </w:tc>
      </w:tr>
    </w:tbl>
    <w:p w:rsidR="00744608" w:rsidRDefault="00744608"/>
    <w:p w:rsidR="00262264" w:rsidRPr="00666CE4" w:rsidRDefault="00262264" w:rsidP="00262264">
      <w:pPr>
        <w:pStyle w:val="berschrift2"/>
      </w:pPr>
      <w:r w:rsidRPr="00666CE4">
        <w:t>Be</w:t>
      </w:r>
      <w:r w:rsidRPr="00666CE4">
        <w:rPr>
          <w:u w:val="none"/>
        </w:rPr>
        <w:t>g</w:t>
      </w:r>
      <w:r w:rsidRPr="00666CE4">
        <w:t>ründun</w:t>
      </w:r>
      <w:r w:rsidRPr="00666CE4">
        <w:rPr>
          <w:u w:val="none"/>
        </w:rPr>
        <w:t>g</w:t>
      </w:r>
      <w:r w:rsidRPr="00666CE4">
        <w:t>:</w:t>
      </w:r>
    </w:p>
    <w:p w:rsidR="00262264" w:rsidRDefault="00262264" w:rsidP="00262264"/>
    <w:p w:rsidR="00D5100D" w:rsidRPr="006E0575" w:rsidRDefault="00D5100D" w:rsidP="00D5100D">
      <w:r>
        <w:t xml:space="preserve">Mit </w:t>
      </w:r>
      <w:proofErr w:type="spellStart"/>
      <w:r>
        <w:t>GRDrs</w:t>
      </w:r>
      <w:proofErr w:type="spellEnd"/>
      <w:r>
        <w:t>. 670/2011 hat der Gemeinderat am 27. März 2012 die Vergnügungs-</w:t>
      </w:r>
      <w:proofErr w:type="spellStart"/>
      <w:r>
        <w:t>stättenkonzeption</w:t>
      </w:r>
      <w:proofErr w:type="spellEnd"/>
      <w:r>
        <w:t xml:space="preserve"> für Stuttgart zur Kenntnis genommen und die Verwaltung beau</w:t>
      </w:r>
      <w:r>
        <w:t>f</w:t>
      </w:r>
      <w:r>
        <w:t xml:space="preserve">tragt, diese in verbindliches Recht umzusetzen. Hierfür sind derzeit insgesamt noch 34 Bebauungsplanverfahren notwendig. Auf einen zusätzlichen personellen Bedarf wurde in der </w:t>
      </w:r>
      <w:proofErr w:type="spellStart"/>
      <w:r>
        <w:t>GRDrs</w:t>
      </w:r>
      <w:proofErr w:type="spellEnd"/>
      <w:r>
        <w:t xml:space="preserve">. 670/2011 bereits hingewiesen. Die Umsetzung wurde mit </w:t>
      </w:r>
      <w:proofErr w:type="spellStart"/>
      <w:r>
        <w:t>GRDrs</w:t>
      </w:r>
      <w:proofErr w:type="spellEnd"/>
      <w:r>
        <w:t>. 620/2012 konkretisiert und beschlossen sowie der zusätzliche</w:t>
      </w:r>
      <w:r w:rsidR="003A4AC1">
        <w:t>,</w:t>
      </w:r>
      <w:r>
        <w:t xml:space="preserve"> personelle Bedarf zur Kenntnis genommen. </w:t>
      </w:r>
      <w:r w:rsidR="003A4AC1">
        <w:t xml:space="preserve">Die </w:t>
      </w:r>
      <w:proofErr w:type="spellStart"/>
      <w:r w:rsidR="003A4AC1">
        <w:t>GRDrs</w:t>
      </w:r>
      <w:proofErr w:type="spellEnd"/>
      <w:r w:rsidR="003A4AC1">
        <w:t xml:space="preserve"> 620/2012 ging von zwei zusätzlichen erforderlichen Stellen aus</w:t>
      </w:r>
      <w:r>
        <w:t xml:space="preserve"> </w:t>
      </w:r>
      <w:r w:rsidR="003A4AC1">
        <w:t>(</w:t>
      </w:r>
      <w:r>
        <w:t>jeweils auf drei Jahre befristet</w:t>
      </w:r>
      <w:r w:rsidR="003A4AC1">
        <w:t>).</w:t>
      </w:r>
      <w:r>
        <w:t xml:space="preserve"> </w:t>
      </w:r>
      <w:r w:rsidR="003A4AC1">
        <w:t>Geschaffen wurde jedoch nur eine Stelle, weshalb sich die Umsetzung zeitlich verzögert und</w:t>
      </w:r>
      <w:r>
        <w:t xml:space="preserve"> jetzt die Verläng</w:t>
      </w:r>
      <w:r>
        <w:t>e</w:t>
      </w:r>
      <w:r>
        <w:t>rung der befristet geschaffenen Stelle um weitere zwei Jahre erforderlich</w:t>
      </w:r>
      <w:r w:rsidR="003A4AC1">
        <w:t xml:space="preserve"> macht.</w:t>
      </w:r>
    </w:p>
    <w:p w:rsidR="00D5100D" w:rsidRDefault="00D5100D" w:rsidP="00D5100D"/>
    <w:p w:rsidR="00D5100D" w:rsidRDefault="00D5100D" w:rsidP="00D5100D">
      <w:pPr>
        <w:rPr>
          <w:szCs w:val="24"/>
        </w:rPr>
      </w:pPr>
      <w:r>
        <w:rPr>
          <w:rFonts w:cs="Arial"/>
          <w:szCs w:val="24"/>
        </w:rPr>
        <w:t>D</w:t>
      </w:r>
      <w:r w:rsidRPr="000564F1">
        <w:rPr>
          <w:rFonts w:cs="Arial"/>
          <w:szCs w:val="24"/>
        </w:rPr>
        <w:t>ie befristet geschaffene Stelle</w:t>
      </w:r>
      <w:r>
        <w:rPr>
          <w:rFonts w:cs="Arial"/>
          <w:szCs w:val="24"/>
        </w:rPr>
        <w:t xml:space="preserve"> wird</w:t>
      </w:r>
      <w:r w:rsidRPr="000564F1">
        <w:rPr>
          <w:rFonts w:cs="Arial"/>
          <w:szCs w:val="24"/>
        </w:rPr>
        <w:t xml:space="preserve"> flexibel</w:t>
      </w:r>
      <w:r w:rsidR="003A4AC1">
        <w:rPr>
          <w:rFonts w:cs="Arial"/>
          <w:szCs w:val="24"/>
        </w:rPr>
        <w:t>,</w:t>
      </w:r>
      <w:r w:rsidRPr="000564F1">
        <w:rPr>
          <w:rFonts w:cs="Arial"/>
          <w:szCs w:val="24"/>
        </w:rPr>
        <w:t xml:space="preserve"> je nach Verfahrensstand</w:t>
      </w:r>
      <w:r w:rsidR="003A4AC1">
        <w:rPr>
          <w:rFonts w:cs="Arial"/>
          <w:szCs w:val="24"/>
        </w:rPr>
        <w:t>,</w:t>
      </w:r>
      <w:r w:rsidRPr="000564F1">
        <w:rPr>
          <w:rFonts w:cs="Arial"/>
          <w:szCs w:val="24"/>
        </w:rPr>
        <w:t xml:space="preserve"> in allen Pl</w:t>
      </w:r>
      <w:r w:rsidRPr="000564F1">
        <w:rPr>
          <w:rFonts w:cs="Arial"/>
          <w:szCs w:val="24"/>
        </w:rPr>
        <w:t>a</w:t>
      </w:r>
      <w:r w:rsidRPr="000564F1">
        <w:rPr>
          <w:rFonts w:cs="Arial"/>
          <w:szCs w:val="24"/>
        </w:rPr>
        <w:t>nungsab</w:t>
      </w:r>
      <w:r>
        <w:rPr>
          <w:rFonts w:cs="Arial"/>
          <w:szCs w:val="24"/>
        </w:rPr>
        <w:t>teilungen eingesetzt</w:t>
      </w:r>
      <w:r w:rsidRPr="000564F1">
        <w:rPr>
          <w:rFonts w:cs="Arial"/>
          <w:szCs w:val="24"/>
        </w:rPr>
        <w:t>. Ergänzende Arbeiten werden</w:t>
      </w:r>
      <w:r w:rsidR="003A4AC1">
        <w:rPr>
          <w:rFonts w:cs="Arial"/>
          <w:szCs w:val="24"/>
        </w:rPr>
        <w:t>,</w:t>
      </w:r>
      <w:r w:rsidRPr="000564F1">
        <w:rPr>
          <w:rFonts w:cs="Arial"/>
          <w:szCs w:val="24"/>
        </w:rPr>
        <w:t xml:space="preserve"> soweit zeitlich möglich</w:t>
      </w:r>
      <w:r w:rsidR="003A4AC1">
        <w:rPr>
          <w:rFonts w:cs="Arial"/>
          <w:szCs w:val="24"/>
        </w:rPr>
        <w:t xml:space="preserve">, </w:t>
      </w:r>
      <w:r w:rsidRPr="000564F1">
        <w:rPr>
          <w:rFonts w:cs="Arial"/>
          <w:szCs w:val="24"/>
        </w:rPr>
        <w:t xml:space="preserve">durch </w:t>
      </w:r>
      <w:r>
        <w:rPr>
          <w:rFonts w:cs="Arial"/>
          <w:szCs w:val="24"/>
        </w:rPr>
        <w:t>einzelne Sachbearbeiter/-innen</w:t>
      </w:r>
      <w:r w:rsidRPr="000564F1">
        <w:rPr>
          <w:rFonts w:cs="Arial"/>
          <w:szCs w:val="24"/>
        </w:rPr>
        <w:t xml:space="preserve"> in den Planungsabteilungen wahrgenommen. </w:t>
      </w:r>
      <w:r>
        <w:rPr>
          <w:rFonts w:cs="Arial"/>
          <w:szCs w:val="24"/>
        </w:rPr>
        <w:t xml:space="preserve">Eine darüber hinausgehende Aufgabenwahrnehmung der </w:t>
      </w:r>
      <w:r w:rsidRPr="000564F1">
        <w:rPr>
          <w:rFonts w:cs="Arial"/>
          <w:szCs w:val="24"/>
        </w:rPr>
        <w:t xml:space="preserve">dortigen Sachbearbeiter/-innen </w:t>
      </w:r>
      <w:r>
        <w:rPr>
          <w:rFonts w:cs="Arial"/>
          <w:szCs w:val="24"/>
        </w:rPr>
        <w:t>ist a</w:t>
      </w:r>
      <w:r w:rsidRPr="000564F1">
        <w:rPr>
          <w:rFonts w:cs="Arial"/>
          <w:szCs w:val="24"/>
        </w:rPr>
        <w:t xml:space="preserve">ufgrund der großen Aufgabenfülle der übrigen städtebaulichen Aufgaben und Verfahren </w:t>
      </w:r>
      <w:r>
        <w:rPr>
          <w:rFonts w:cs="Arial"/>
          <w:szCs w:val="24"/>
        </w:rPr>
        <w:t xml:space="preserve">nicht möglich. </w:t>
      </w:r>
      <w:r>
        <w:rPr>
          <w:szCs w:val="24"/>
        </w:rPr>
        <w:t xml:space="preserve">Zur Umsetzung der </w:t>
      </w:r>
      <w:proofErr w:type="spellStart"/>
      <w:r>
        <w:rPr>
          <w:szCs w:val="24"/>
        </w:rPr>
        <w:t>Vergnügungsstättenkonzeption</w:t>
      </w:r>
      <w:proofErr w:type="spellEnd"/>
      <w:r>
        <w:rPr>
          <w:szCs w:val="24"/>
        </w:rPr>
        <w:t xml:space="preserve"> sind inzwischen für alle 23 Stuttgarter Stadtbezirke stadtbezirksbezogene Bebauung</w:t>
      </w:r>
      <w:r>
        <w:rPr>
          <w:szCs w:val="24"/>
        </w:rPr>
        <w:t>s</w:t>
      </w:r>
      <w:r>
        <w:rPr>
          <w:szCs w:val="24"/>
        </w:rPr>
        <w:t>planverfahren „Vergnügungsstätten und andere Einrichtungen“, die die Gemarkung des jeweiligen Stadtbezirks ganz umfassen, eingeleitet worden. In einzelnen stad</w:t>
      </w:r>
      <w:r>
        <w:rPr>
          <w:szCs w:val="24"/>
        </w:rPr>
        <w:t>t</w:t>
      </w:r>
      <w:r>
        <w:rPr>
          <w:szCs w:val="24"/>
        </w:rPr>
        <w:t>bezirksbezogenen Bebauungsplanverfahren konnte schon ein Auslegungsbeschluss und in drei Fällen ein Satzungsbeschluss herbeigeführt werden. Für die große Meh</w:t>
      </w:r>
      <w:r>
        <w:rPr>
          <w:szCs w:val="24"/>
        </w:rPr>
        <w:t>r</w:t>
      </w:r>
      <w:r>
        <w:rPr>
          <w:szCs w:val="24"/>
        </w:rPr>
        <w:t>heit dieser Bebauungsplanverfahren liegt jedoch erst ein Aufstellungsbeschluss vor. Die Durchführung des eigentlichen umfassenden Verfahrens steht in diesen Fällen also noch bevor oder hat mit der frühzeitigen Beteiligung der Behörden und der Ö</w:t>
      </w:r>
      <w:r>
        <w:rPr>
          <w:szCs w:val="24"/>
        </w:rPr>
        <w:t>f</w:t>
      </w:r>
      <w:r>
        <w:rPr>
          <w:szCs w:val="24"/>
        </w:rPr>
        <w:t>fentlichkeit erst begonnen.</w:t>
      </w:r>
    </w:p>
    <w:p w:rsidR="00D5100D" w:rsidRDefault="00D5100D" w:rsidP="00D5100D">
      <w:pPr>
        <w:rPr>
          <w:szCs w:val="24"/>
        </w:rPr>
      </w:pPr>
    </w:p>
    <w:p w:rsidR="00D5100D" w:rsidRDefault="00D5100D" w:rsidP="00D5100D">
      <w:pPr>
        <w:rPr>
          <w:szCs w:val="24"/>
        </w:rPr>
      </w:pPr>
      <w:r>
        <w:rPr>
          <w:szCs w:val="24"/>
        </w:rPr>
        <w:t>Für Gebiete, die bislang nach § 34 BauGB zu beurteilen sind, sind – um sie rech</w:t>
      </w:r>
      <w:r>
        <w:rPr>
          <w:szCs w:val="24"/>
        </w:rPr>
        <w:t>t</w:t>
      </w:r>
      <w:r>
        <w:rPr>
          <w:szCs w:val="24"/>
        </w:rPr>
        <w:t>mäßig durch diese stadtbezirksbezogenen Pläne erfassen zu können – parallel und im Regelfall zusätzlich Bebauungspläne zu erarbeiten, die die Art der baulichen Nu</w:t>
      </w:r>
      <w:r>
        <w:rPr>
          <w:szCs w:val="24"/>
        </w:rPr>
        <w:t>t</w:t>
      </w:r>
      <w:r>
        <w:rPr>
          <w:szCs w:val="24"/>
        </w:rPr>
        <w:t>zung festsetzen. Es handelt sich um 17 Bereiche. Auch für diese Bereiche sind die Bebauungsplanverfahren eingeleitet worden</w:t>
      </w:r>
      <w:r w:rsidR="003A4AC1">
        <w:rPr>
          <w:szCs w:val="24"/>
        </w:rPr>
        <w:t>.</w:t>
      </w:r>
      <w:r>
        <w:rPr>
          <w:szCs w:val="24"/>
        </w:rPr>
        <w:t xml:space="preserve"> </w:t>
      </w:r>
      <w:r w:rsidR="003A4AC1">
        <w:rPr>
          <w:szCs w:val="24"/>
        </w:rPr>
        <w:t>S</w:t>
      </w:r>
      <w:r w:rsidRPr="001E4050">
        <w:rPr>
          <w:rFonts w:cs="Arial"/>
          <w:szCs w:val="24"/>
        </w:rPr>
        <w:t xml:space="preserve">oweit es räumlich sinnvoll ist, wurden </w:t>
      </w:r>
      <w:r w:rsidRPr="001E4050">
        <w:rPr>
          <w:rFonts w:cs="Arial"/>
          <w:szCs w:val="24"/>
        </w:rPr>
        <w:lastRenderedPageBreak/>
        <w:t>die Bereiche z</w:t>
      </w:r>
      <w:r w:rsidR="003A4AC1">
        <w:rPr>
          <w:rFonts w:cs="Arial"/>
          <w:szCs w:val="24"/>
        </w:rPr>
        <w:t>usammengefasst. S</w:t>
      </w:r>
      <w:r w:rsidRPr="001E4050">
        <w:rPr>
          <w:rFonts w:cs="Arial"/>
          <w:szCs w:val="24"/>
        </w:rPr>
        <w:t>omit sind insgesamt 14 Bebauungsplanverfahren notwendig</w:t>
      </w:r>
      <w:r w:rsidRPr="001E4050">
        <w:rPr>
          <w:szCs w:val="24"/>
        </w:rPr>
        <w:t>.</w:t>
      </w:r>
      <w:r w:rsidRPr="001E4050">
        <w:rPr>
          <w:szCs w:val="24"/>
        </w:rPr>
        <w:br/>
      </w:r>
    </w:p>
    <w:p w:rsidR="00D5100D" w:rsidRDefault="00D5100D" w:rsidP="00D5100D">
      <w:pPr>
        <w:rPr>
          <w:szCs w:val="24"/>
        </w:rPr>
      </w:pPr>
      <w:r>
        <w:t xml:space="preserve">Damit die vom Gemeinderat beschlossene </w:t>
      </w:r>
      <w:proofErr w:type="spellStart"/>
      <w:r>
        <w:t>Vergnügungsstättenkonzeption</w:t>
      </w:r>
      <w:proofErr w:type="spellEnd"/>
      <w:r>
        <w:t xml:space="preserve"> inhaltlich und zeitlich konsistent bis einschließlich 2018 in verbindliches Recht umgesetzt wird, ist die Verlängerung der befristet geschaffenen Stelle zwingend notwendig.</w:t>
      </w:r>
    </w:p>
    <w:p w:rsidR="00D5100D" w:rsidRDefault="00D5100D" w:rsidP="00D5100D"/>
    <w:p w:rsidR="00D5100D" w:rsidRDefault="00D5100D" w:rsidP="00D5100D">
      <w:r>
        <w:t xml:space="preserve">Die Umsetzung der Konzeption muss aus Gründen zurückgestellter Baugesuche und bestehender Veränderungssperren sowie aus Gründen inhaltlicher Einheitlichkeit und der Bezugnahme auf die Bestandsaufnahme der </w:t>
      </w:r>
      <w:proofErr w:type="spellStart"/>
      <w:r>
        <w:t>Vergnügungsstättenkonzeption</w:t>
      </w:r>
      <w:proofErr w:type="spellEnd"/>
      <w:r>
        <w:t xml:space="preserve"> aus 2010/11 zeitnah erfolgen. Die </w:t>
      </w:r>
      <w:proofErr w:type="spellStart"/>
      <w:r>
        <w:t>Vergnügungsstättenkonzeption</w:t>
      </w:r>
      <w:proofErr w:type="spellEnd"/>
      <w:r>
        <w:t xml:space="preserve"> muss deshalb bis einschließlich 2018 in verbindliches Recht umgesetzt werden. </w:t>
      </w:r>
    </w:p>
    <w:p w:rsidR="00D5100D" w:rsidRDefault="00D5100D" w:rsidP="00D5100D"/>
    <w:p w:rsidR="00D5100D" w:rsidRDefault="00D5100D" w:rsidP="00D5100D">
      <w:r>
        <w:t>Dies geschieht zusätzlich zu den bestehenden Aufgaben und erfordert befristet einen zusätzlichen Personalbedarf. Ohne die Verlängerung der befristet geschaffenen Ste</w:t>
      </w:r>
      <w:r>
        <w:t>l</w:t>
      </w:r>
      <w:r>
        <w:t>le wäre eine zeitgerechte Umsetzung nicht möglich und eine unangemessene Ve</w:t>
      </w:r>
      <w:r>
        <w:t>r</w:t>
      </w:r>
      <w:r>
        <w:t>mehrung von Vergnügungsstätten zu befürchten, da die Zurückstellung von Baug</w:t>
      </w:r>
      <w:r>
        <w:t>e</w:t>
      </w:r>
      <w:r>
        <w:t>suchen und der Erlass von Veränderungssperren nur zeitlich befristet möglich sind.</w:t>
      </w:r>
    </w:p>
    <w:p w:rsidR="00D5100D" w:rsidRDefault="00D5100D" w:rsidP="00D5100D"/>
    <w:p w:rsidR="00262264" w:rsidRDefault="00262264" w:rsidP="00D5100D"/>
    <w:sectPr w:rsidR="00262264" w:rsidSect="007446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useFELayout/>
  </w:compat>
  <w:rsids>
    <w:rsidRoot w:val="00262264"/>
    <w:rsid w:val="000C42F9"/>
    <w:rsid w:val="001070B9"/>
    <w:rsid w:val="00262264"/>
    <w:rsid w:val="003A4AC1"/>
    <w:rsid w:val="00500489"/>
    <w:rsid w:val="005162BC"/>
    <w:rsid w:val="0064713C"/>
    <w:rsid w:val="00654100"/>
    <w:rsid w:val="00744608"/>
    <w:rsid w:val="007B4170"/>
    <w:rsid w:val="00B47843"/>
    <w:rsid w:val="00B97F09"/>
    <w:rsid w:val="00D5100D"/>
    <w:rsid w:val="00F447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264"/>
    <w:pPr>
      <w:spacing w:after="0" w:line="240" w:lineRule="auto"/>
    </w:pPr>
    <w:rPr>
      <w:rFonts w:ascii="Arial" w:eastAsia="Times New Roman" w:hAnsi="Arial" w:cs="Times New Roman"/>
      <w:sz w:val="24"/>
      <w:szCs w:val="20"/>
    </w:rPr>
  </w:style>
  <w:style w:type="paragraph" w:styleId="berschrift2">
    <w:name w:val="heading 2"/>
    <w:basedOn w:val="Standard"/>
    <w:next w:val="Standard"/>
    <w:link w:val="berschrift2Zchn"/>
    <w:qFormat/>
    <w:rsid w:val="00262264"/>
    <w:pPr>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62264"/>
    <w:rPr>
      <w:rFonts w:ascii="Arial" w:eastAsia="Times New Roman" w:hAnsi="Arial" w:cs="Times New Roman"/>
      <w:b/>
      <w:sz w:val="24"/>
      <w:szCs w:val="20"/>
      <w:u w:val="single"/>
    </w:rPr>
  </w:style>
  <w:style w:type="paragraph" w:styleId="Sprechblasentext">
    <w:name w:val="Balloon Text"/>
    <w:basedOn w:val="Standard"/>
    <w:link w:val="SprechblasentextZchn"/>
    <w:uiPriority w:val="99"/>
    <w:semiHidden/>
    <w:unhideWhenUsed/>
    <w:rsid w:val="003A4A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A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u103011</dc:creator>
  <cp:keywords/>
  <dc:description/>
  <cp:lastModifiedBy>U103007</cp:lastModifiedBy>
  <cp:revision>6</cp:revision>
  <cp:lastPrinted>2015-09-23T12:58:00Z</cp:lastPrinted>
  <dcterms:created xsi:type="dcterms:W3CDTF">2015-09-08T11:29:00Z</dcterms:created>
  <dcterms:modified xsi:type="dcterms:W3CDTF">2015-09-23T12:58:00Z</dcterms:modified>
</cp:coreProperties>
</file>