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8F44C6" w:rsidRDefault="003D7B0B" w:rsidP="006E0575">
      <w:pPr>
        <w:tabs>
          <w:tab w:val="left" w:pos="5812"/>
        </w:tabs>
        <w:jc w:val="right"/>
        <w:rPr>
          <w:szCs w:val="24"/>
        </w:rPr>
      </w:pPr>
      <w:r w:rsidRPr="008F44C6">
        <w:rPr>
          <w:szCs w:val="24"/>
        </w:rPr>
        <w:t xml:space="preserve">Anlage </w:t>
      </w:r>
      <w:r w:rsidR="00167C34">
        <w:rPr>
          <w:szCs w:val="24"/>
        </w:rPr>
        <w:t>6</w:t>
      </w:r>
      <w:r w:rsidRPr="008F44C6">
        <w:rPr>
          <w:szCs w:val="24"/>
        </w:rPr>
        <w:t xml:space="preserve"> zur GRDrs </w:t>
      </w:r>
      <w:r w:rsidR="00167C34">
        <w:rPr>
          <w:szCs w:val="24"/>
        </w:rPr>
        <w:t>703</w:t>
      </w:r>
      <w:bookmarkStart w:id="0" w:name="_GoBack"/>
      <w:bookmarkEnd w:id="0"/>
      <w:r w:rsidR="00F86DF8" w:rsidRPr="008F44C6">
        <w:rPr>
          <w:szCs w:val="24"/>
        </w:rPr>
        <w:t>/2021</w:t>
      </w:r>
    </w:p>
    <w:p w:rsidR="003D7B0B" w:rsidRPr="008F44C6" w:rsidRDefault="003D7B0B" w:rsidP="006E0575"/>
    <w:p w:rsidR="003D7B0B" w:rsidRPr="008F44C6" w:rsidRDefault="003D7B0B" w:rsidP="006E0575"/>
    <w:p w:rsidR="00184EDC" w:rsidRPr="008F44C6" w:rsidRDefault="003D7B0B" w:rsidP="005A56AA">
      <w:pPr>
        <w:tabs>
          <w:tab w:val="left" w:pos="6521"/>
        </w:tabs>
        <w:jc w:val="center"/>
        <w:rPr>
          <w:b/>
          <w:sz w:val="36"/>
        </w:rPr>
      </w:pPr>
      <w:r w:rsidRPr="008F44C6">
        <w:rPr>
          <w:b/>
          <w:sz w:val="36"/>
          <w:u w:val="single"/>
        </w:rPr>
        <w:t>Stellenschaffung</w:t>
      </w:r>
    </w:p>
    <w:p w:rsidR="003D7B0B" w:rsidRPr="008F44C6" w:rsidRDefault="00184EDC" w:rsidP="005A56AA">
      <w:pPr>
        <w:tabs>
          <w:tab w:val="left" w:pos="6521"/>
        </w:tabs>
        <w:jc w:val="center"/>
        <w:rPr>
          <w:b/>
          <w:sz w:val="36"/>
          <w:u w:val="single"/>
        </w:rPr>
      </w:pPr>
      <w:r w:rsidRPr="008F44C6">
        <w:rPr>
          <w:b/>
          <w:sz w:val="36"/>
          <w:u w:val="single"/>
        </w:rPr>
        <w:t xml:space="preserve">zum Stellenplan </w:t>
      </w:r>
      <w:r w:rsidRPr="008F44C6">
        <w:rPr>
          <w:b/>
          <w:sz w:val="36"/>
          <w:szCs w:val="36"/>
          <w:u w:val="single"/>
        </w:rPr>
        <w:t>20</w:t>
      </w:r>
      <w:r w:rsidR="00773B52" w:rsidRPr="008F44C6">
        <w:rPr>
          <w:b/>
          <w:sz w:val="36"/>
          <w:szCs w:val="36"/>
          <w:u w:val="single"/>
        </w:rPr>
        <w:t>22</w:t>
      </w:r>
    </w:p>
    <w:p w:rsidR="003D7B0B" w:rsidRPr="008F44C6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8F44C6" w:rsidRPr="008F44C6" w:rsidTr="005F5B3D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184EDC" w:rsidRPr="008F44C6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8F44C6">
              <w:rPr>
                <w:sz w:val="16"/>
                <w:szCs w:val="16"/>
              </w:rPr>
              <w:t>Org.-Einheit</w:t>
            </w:r>
            <w:r w:rsidRPr="008F44C6">
              <w:rPr>
                <w:sz w:val="16"/>
                <w:szCs w:val="16"/>
              </w:rPr>
              <w:br/>
              <w:t>(aut. Stpl.)</w:t>
            </w:r>
            <w:r w:rsidR="00380937" w:rsidRPr="008F44C6">
              <w:rPr>
                <w:sz w:val="16"/>
                <w:szCs w:val="16"/>
              </w:rPr>
              <w:t>,</w:t>
            </w:r>
          </w:p>
          <w:p w:rsidR="005F5B3D" w:rsidRPr="008F44C6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8F44C6">
              <w:rPr>
                <w:sz w:val="16"/>
                <w:szCs w:val="16"/>
              </w:rPr>
              <w:br/>
              <w:t>Kostenstelle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8F44C6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8F44C6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606F80" w:rsidRPr="008F44C6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8F44C6">
              <w:rPr>
                <w:sz w:val="16"/>
                <w:szCs w:val="16"/>
              </w:rPr>
              <w:t>BesGr.</w:t>
            </w:r>
          </w:p>
          <w:p w:rsidR="00606F80" w:rsidRPr="008F44C6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8F44C6">
              <w:rPr>
                <w:sz w:val="16"/>
                <w:szCs w:val="16"/>
              </w:rPr>
              <w:t>oder</w:t>
            </w:r>
          </w:p>
          <w:p w:rsidR="00606F80" w:rsidRPr="008F44C6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8F44C6"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8F44C6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8F44C6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8F44C6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8F44C6">
              <w:rPr>
                <w:sz w:val="16"/>
                <w:szCs w:val="16"/>
              </w:rPr>
              <w:t>Anzahl</w:t>
            </w:r>
            <w:r w:rsidRPr="008F44C6">
              <w:rPr>
                <w:sz w:val="16"/>
                <w:szCs w:val="16"/>
              </w:rPr>
              <w:br/>
              <w:t>der</w:t>
            </w:r>
            <w:r w:rsidRPr="008F44C6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8F44C6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8F44C6">
              <w:rPr>
                <w:sz w:val="16"/>
                <w:szCs w:val="16"/>
              </w:rPr>
              <w:t>Stellen-</w:t>
            </w:r>
            <w:r w:rsidRPr="008F44C6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8F44C6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8F44C6">
              <w:rPr>
                <w:sz w:val="16"/>
                <w:szCs w:val="16"/>
              </w:rPr>
              <w:t>durchschnittl.</w:t>
            </w:r>
            <w:r w:rsidRPr="008F44C6">
              <w:rPr>
                <w:sz w:val="16"/>
                <w:szCs w:val="16"/>
              </w:rPr>
              <w:br/>
              <w:t>jährl. kosten-</w:t>
            </w:r>
            <w:r w:rsidRPr="008F44C6">
              <w:rPr>
                <w:sz w:val="16"/>
                <w:szCs w:val="16"/>
              </w:rPr>
              <w:br/>
              <w:t>wirksamer</w:t>
            </w:r>
            <w:r w:rsidRPr="008F44C6">
              <w:rPr>
                <w:sz w:val="16"/>
                <w:szCs w:val="16"/>
              </w:rPr>
              <w:br/>
              <w:t>Aufwand</w:t>
            </w:r>
            <w:r w:rsidRPr="008F44C6">
              <w:rPr>
                <w:sz w:val="16"/>
                <w:szCs w:val="16"/>
              </w:rPr>
              <w:br/>
              <w:t>Euro</w:t>
            </w:r>
          </w:p>
        </w:tc>
      </w:tr>
      <w:tr w:rsidR="008F44C6" w:rsidRPr="008F44C6" w:rsidTr="005F5B3D">
        <w:tc>
          <w:tcPr>
            <w:tcW w:w="1814" w:type="dxa"/>
          </w:tcPr>
          <w:p w:rsidR="005F5B3D" w:rsidRPr="008F44C6" w:rsidRDefault="005F5B3D" w:rsidP="006E0575">
            <w:pPr>
              <w:rPr>
                <w:sz w:val="20"/>
              </w:rPr>
            </w:pPr>
          </w:p>
          <w:p w:rsidR="005F5B3D" w:rsidRPr="008F44C6" w:rsidRDefault="008E2522" w:rsidP="00A22350">
            <w:pPr>
              <w:rPr>
                <w:sz w:val="20"/>
              </w:rPr>
            </w:pPr>
            <w:r w:rsidRPr="008F44C6">
              <w:rPr>
                <w:sz w:val="20"/>
              </w:rPr>
              <w:t>32-21</w:t>
            </w:r>
          </w:p>
          <w:p w:rsidR="008E2522" w:rsidRPr="008F44C6" w:rsidRDefault="008E2522" w:rsidP="00A22350">
            <w:pPr>
              <w:rPr>
                <w:sz w:val="20"/>
              </w:rPr>
            </w:pPr>
          </w:p>
          <w:p w:rsidR="008E2522" w:rsidRPr="008F44C6" w:rsidRDefault="008E2522" w:rsidP="00A22350">
            <w:pPr>
              <w:rPr>
                <w:sz w:val="20"/>
              </w:rPr>
            </w:pPr>
            <w:r w:rsidRPr="008F44C6">
              <w:rPr>
                <w:sz w:val="20"/>
              </w:rPr>
              <w:t>3221</w:t>
            </w:r>
            <w:r w:rsidR="00451471" w:rsidRPr="008F44C6">
              <w:rPr>
                <w:sz w:val="20"/>
              </w:rPr>
              <w:t xml:space="preserve"> </w:t>
            </w:r>
            <w:r w:rsidRPr="008F44C6">
              <w:rPr>
                <w:sz w:val="20"/>
              </w:rPr>
              <w:t>5211</w:t>
            </w:r>
          </w:p>
        </w:tc>
        <w:tc>
          <w:tcPr>
            <w:tcW w:w="1701" w:type="dxa"/>
          </w:tcPr>
          <w:p w:rsidR="005F5B3D" w:rsidRPr="008F44C6" w:rsidRDefault="005F5B3D" w:rsidP="006E0575">
            <w:pPr>
              <w:rPr>
                <w:sz w:val="20"/>
              </w:rPr>
            </w:pPr>
          </w:p>
          <w:p w:rsidR="005F5B3D" w:rsidRPr="008F44C6" w:rsidRDefault="002C71FA" w:rsidP="002C71FA">
            <w:pPr>
              <w:rPr>
                <w:sz w:val="20"/>
              </w:rPr>
            </w:pPr>
            <w:r w:rsidRPr="008F44C6">
              <w:rPr>
                <w:sz w:val="20"/>
              </w:rPr>
              <w:t xml:space="preserve">Amt für </w:t>
            </w:r>
            <w:r w:rsidR="00F72267" w:rsidRPr="008F44C6">
              <w:rPr>
                <w:sz w:val="20"/>
              </w:rPr>
              <w:br/>
            </w:r>
            <w:r w:rsidRPr="008F44C6">
              <w:rPr>
                <w:sz w:val="20"/>
              </w:rPr>
              <w:t xml:space="preserve">öffentliche </w:t>
            </w:r>
            <w:r w:rsidR="00F72267" w:rsidRPr="008F44C6">
              <w:rPr>
                <w:sz w:val="20"/>
              </w:rPr>
              <w:br/>
            </w:r>
            <w:r w:rsidRPr="008F44C6">
              <w:rPr>
                <w:sz w:val="20"/>
              </w:rPr>
              <w:t>Ordnung</w:t>
            </w:r>
          </w:p>
          <w:p w:rsidR="008E2522" w:rsidRPr="008F44C6" w:rsidRDefault="008E2522" w:rsidP="002C71FA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B2097D" w:rsidRPr="008F44C6" w:rsidRDefault="00B2097D" w:rsidP="001F7237">
            <w:pPr>
              <w:jc w:val="center"/>
              <w:rPr>
                <w:sz w:val="20"/>
              </w:rPr>
            </w:pPr>
          </w:p>
          <w:p w:rsidR="00A22350" w:rsidRPr="008F44C6" w:rsidRDefault="00A22350" w:rsidP="00A53A1A">
            <w:pPr>
              <w:jc w:val="center"/>
              <w:rPr>
                <w:sz w:val="20"/>
              </w:rPr>
            </w:pPr>
            <w:r w:rsidRPr="008F44C6">
              <w:rPr>
                <w:sz w:val="20"/>
              </w:rPr>
              <w:t>A</w:t>
            </w:r>
            <w:r w:rsidR="00451471" w:rsidRPr="008F44C6">
              <w:rPr>
                <w:sz w:val="20"/>
              </w:rPr>
              <w:t xml:space="preserve"> </w:t>
            </w:r>
            <w:r w:rsidRPr="008F44C6">
              <w:rPr>
                <w:sz w:val="20"/>
              </w:rPr>
              <w:t xml:space="preserve">11 </w:t>
            </w:r>
          </w:p>
        </w:tc>
        <w:tc>
          <w:tcPr>
            <w:tcW w:w="1928" w:type="dxa"/>
          </w:tcPr>
          <w:p w:rsidR="005F5B3D" w:rsidRPr="008F44C6" w:rsidRDefault="005F5B3D" w:rsidP="006E0575">
            <w:pPr>
              <w:rPr>
                <w:sz w:val="20"/>
              </w:rPr>
            </w:pPr>
          </w:p>
          <w:p w:rsidR="005F5B3D" w:rsidRPr="008F44C6" w:rsidRDefault="008F44C6" w:rsidP="008F44C6">
            <w:pPr>
              <w:rPr>
                <w:sz w:val="20"/>
              </w:rPr>
            </w:pPr>
            <w:r w:rsidRPr="008F44C6">
              <w:rPr>
                <w:sz w:val="20"/>
              </w:rPr>
              <w:t>Sachbearbeiter/-in</w:t>
            </w:r>
          </w:p>
        </w:tc>
        <w:tc>
          <w:tcPr>
            <w:tcW w:w="737" w:type="dxa"/>
            <w:shd w:val="pct12" w:color="auto" w:fill="FFFFFF"/>
          </w:tcPr>
          <w:p w:rsidR="005F5B3D" w:rsidRPr="008F44C6" w:rsidRDefault="005F5B3D" w:rsidP="001F7237">
            <w:pPr>
              <w:jc w:val="center"/>
              <w:rPr>
                <w:sz w:val="20"/>
              </w:rPr>
            </w:pPr>
          </w:p>
          <w:p w:rsidR="005F5B3D" w:rsidRPr="008F44C6" w:rsidRDefault="00A22350" w:rsidP="001F7237">
            <w:pPr>
              <w:jc w:val="center"/>
              <w:rPr>
                <w:sz w:val="20"/>
              </w:rPr>
            </w:pPr>
            <w:r w:rsidRPr="008F44C6">
              <w:rPr>
                <w:sz w:val="20"/>
              </w:rPr>
              <w:t>0,5</w:t>
            </w:r>
          </w:p>
        </w:tc>
        <w:tc>
          <w:tcPr>
            <w:tcW w:w="1134" w:type="dxa"/>
          </w:tcPr>
          <w:p w:rsidR="005F5B3D" w:rsidRPr="008F44C6" w:rsidRDefault="005F5B3D" w:rsidP="001F7237">
            <w:pPr>
              <w:jc w:val="center"/>
              <w:rPr>
                <w:sz w:val="20"/>
              </w:rPr>
            </w:pPr>
          </w:p>
          <w:p w:rsidR="005F5B3D" w:rsidRPr="008F44C6" w:rsidRDefault="00F72267" w:rsidP="001F7237">
            <w:pPr>
              <w:jc w:val="center"/>
              <w:rPr>
                <w:sz w:val="20"/>
              </w:rPr>
            </w:pPr>
            <w:r w:rsidRPr="008F44C6">
              <w:rPr>
                <w:sz w:val="20"/>
              </w:rPr>
              <w:t>--</w:t>
            </w:r>
            <w:r w:rsidR="008E2522" w:rsidRPr="008F44C6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5F5B3D" w:rsidRPr="008F44C6" w:rsidRDefault="005F5B3D" w:rsidP="001F7237">
            <w:pPr>
              <w:jc w:val="center"/>
              <w:rPr>
                <w:sz w:val="20"/>
              </w:rPr>
            </w:pPr>
          </w:p>
          <w:p w:rsidR="00BC545D" w:rsidRPr="008F44C6" w:rsidRDefault="00D553E8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50.350</w:t>
            </w:r>
          </w:p>
        </w:tc>
      </w:tr>
    </w:tbl>
    <w:p w:rsidR="003D7B0B" w:rsidRPr="008F44C6" w:rsidRDefault="006E0575" w:rsidP="00884D6C">
      <w:pPr>
        <w:pStyle w:val="berschrift1"/>
      </w:pPr>
      <w:r w:rsidRPr="008F44C6">
        <w:t>1</w:t>
      </w:r>
      <w:r w:rsidR="00884D6C" w:rsidRPr="008F44C6">
        <w:tab/>
      </w:r>
      <w:r w:rsidR="003D7B0B" w:rsidRPr="008F44C6">
        <w:t>Antra</w:t>
      </w:r>
      <w:r w:rsidR="003D7B0B" w:rsidRPr="008F44C6">
        <w:rPr>
          <w:u w:val="none"/>
        </w:rPr>
        <w:t>g</w:t>
      </w:r>
      <w:r w:rsidR="003D7B0B" w:rsidRPr="008F44C6">
        <w:t>, Stellenausstattun</w:t>
      </w:r>
      <w:r w:rsidR="003D7B0B" w:rsidRPr="008F44C6">
        <w:rPr>
          <w:u w:val="none"/>
        </w:rPr>
        <w:t>g</w:t>
      </w:r>
    </w:p>
    <w:p w:rsidR="003D7B0B" w:rsidRPr="008F44C6" w:rsidRDefault="003D7B0B" w:rsidP="00635307"/>
    <w:p w:rsidR="00A22350" w:rsidRPr="008F44C6" w:rsidRDefault="00722AFF" w:rsidP="00635307">
      <w:r w:rsidRPr="008F44C6">
        <w:t xml:space="preserve">Geschaffen wird eine </w:t>
      </w:r>
      <w:r w:rsidR="00C24522" w:rsidRPr="008F44C6">
        <w:t>0,5</w:t>
      </w:r>
      <w:r w:rsidRPr="008F44C6">
        <w:t>0</w:t>
      </w:r>
      <w:r w:rsidR="00C24522" w:rsidRPr="008F44C6">
        <w:t>-Plans</w:t>
      </w:r>
      <w:r w:rsidR="00A22350" w:rsidRPr="008F44C6">
        <w:t>te</w:t>
      </w:r>
      <w:r w:rsidR="00F120E5" w:rsidRPr="008F44C6">
        <w:t xml:space="preserve">lle </w:t>
      </w:r>
      <w:r w:rsidR="00834598" w:rsidRPr="008F44C6">
        <w:t xml:space="preserve">der Besoldungsgruppe A 11 </w:t>
      </w:r>
      <w:r w:rsidR="00F120E5" w:rsidRPr="008F44C6">
        <w:t>für das Tätigkeitsfeld eines/einer</w:t>
      </w:r>
      <w:r w:rsidR="00A22350" w:rsidRPr="008F44C6">
        <w:t xml:space="preserve"> Wildtierbeauftragen</w:t>
      </w:r>
      <w:r w:rsidR="00826506" w:rsidRPr="008F44C6">
        <w:t xml:space="preserve"> </w:t>
      </w:r>
      <w:r w:rsidR="00A22350" w:rsidRPr="008F44C6">
        <w:t xml:space="preserve">in A 11 im Aufgabengebiet </w:t>
      </w:r>
      <w:r w:rsidR="00D07CD8" w:rsidRPr="008F44C6">
        <w:t>„Waffen-, Sprengstoff-, Jagd- und</w:t>
      </w:r>
      <w:r w:rsidR="00A22350" w:rsidRPr="008F44C6">
        <w:t xml:space="preserve"> Fischereiwesen“ bei der Dienststelle 3</w:t>
      </w:r>
      <w:r w:rsidR="00D07CD8" w:rsidRPr="008F44C6">
        <w:t>2-21 „Allgemeine Sicherheits- und</w:t>
      </w:r>
      <w:r w:rsidR="00A22350" w:rsidRPr="008F44C6">
        <w:t xml:space="preserve"> Ordnungsangelegenheiten“.</w:t>
      </w:r>
    </w:p>
    <w:p w:rsidR="003D7B0B" w:rsidRPr="008F44C6" w:rsidRDefault="003D7B0B" w:rsidP="00884D6C">
      <w:pPr>
        <w:pStyle w:val="berschrift1"/>
      </w:pPr>
      <w:r w:rsidRPr="008F44C6">
        <w:t>2</w:t>
      </w:r>
      <w:r w:rsidRPr="008F44C6">
        <w:tab/>
        <w:t>Schaffun</w:t>
      </w:r>
      <w:r w:rsidRPr="008F44C6">
        <w:rPr>
          <w:u w:val="none"/>
        </w:rPr>
        <w:t>g</w:t>
      </w:r>
      <w:r w:rsidRPr="008F44C6">
        <w:t>skriterien</w:t>
      </w:r>
    </w:p>
    <w:p w:rsidR="003D7B0B" w:rsidRPr="008F44C6" w:rsidRDefault="003D7B0B" w:rsidP="00884D6C"/>
    <w:p w:rsidR="009F0C95" w:rsidRPr="008F44C6" w:rsidRDefault="00633155" w:rsidP="00F120E5">
      <w:pPr>
        <w:rPr>
          <w:rFonts w:cs="Arial"/>
          <w:szCs w:val="24"/>
        </w:rPr>
      </w:pPr>
      <w:r w:rsidRPr="008F44C6">
        <w:rPr>
          <w:rFonts w:cs="Arial"/>
          <w:szCs w:val="24"/>
        </w:rPr>
        <w:t>D</w:t>
      </w:r>
      <w:r w:rsidR="00626CCF" w:rsidRPr="008F44C6">
        <w:rPr>
          <w:rFonts w:cs="Arial"/>
          <w:szCs w:val="24"/>
        </w:rPr>
        <w:t>as</w:t>
      </w:r>
      <w:r w:rsidR="00BC7001" w:rsidRPr="008F44C6">
        <w:rPr>
          <w:rFonts w:cs="Arial"/>
          <w:szCs w:val="24"/>
        </w:rPr>
        <w:t xml:space="preserve"> Schaffungskriter</w:t>
      </w:r>
      <w:r w:rsidR="00F120E5" w:rsidRPr="008F44C6">
        <w:rPr>
          <w:rFonts w:cs="Arial"/>
          <w:szCs w:val="24"/>
        </w:rPr>
        <w:t xml:space="preserve">ium </w:t>
      </w:r>
      <w:r w:rsidR="00447A5D" w:rsidRPr="008F44C6">
        <w:rPr>
          <w:rFonts w:cs="Arial"/>
          <w:szCs w:val="24"/>
        </w:rPr>
        <w:t>„</w:t>
      </w:r>
      <w:r w:rsidR="0063483D" w:rsidRPr="008F44C6">
        <w:rPr>
          <w:rFonts w:cs="Arial"/>
          <w:szCs w:val="24"/>
        </w:rPr>
        <w:t xml:space="preserve">Erfüllung </w:t>
      </w:r>
      <w:r w:rsidR="00F120E5" w:rsidRPr="008F44C6">
        <w:t>neue</w:t>
      </w:r>
      <w:r w:rsidR="0063483D" w:rsidRPr="008F44C6">
        <w:t>r, zwingender</w:t>
      </w:r>
      <w:r w:rsidR="00F120E5" w:rsidRPr="008F44C6">
        <w:t xml:space="preserve"> gesetzlich</w:t>
      </w:r>
      <w:r w:rsidR="0063483D" w:rsidRPr="008F44C6">
        <w:t>er Vorschriften</w:t>
      </w:r>
      <w:r w:rsidR="00447A5D" w:rsidRPr="008F44C6">
        <w:t>“</w:t>
      </w:r>
      <w:r w:rsidR="002D794A" w:rsidRPr="008F44C6">
        <w:t xml:space="preserve"> </w:t>
      </w:r>
      <w:r w:rsidRPr="008F44C6">
        <w:t xml:space="preserve">wird </w:t>
      </w:r>
      <w:r w:rsidR="00BC7001" w:rsidRPr="008F44C6">
        <w:rPr>
          <w:rFonts w:cs="Arial"/>
          <w:szCs w:val="24"/>
        </w:rPr>
        <w:t>erfüllt.</w:t>
      </w:r>
      <w:r w:rsidR="00D22A13" w:rsidRPr="008F44C6">
        <w:rPr>
          <w:rFonts w:cs="Arial"/>
          <w:szCs w:val="24"/>
        </w:rPr>
        <w:t xml:space="preserve"> </w:t>
      </w:r>
    </w:p>
    <w:p w:rsidR="003D7B0B" w:rsidRPr="008F44C6" w:rsidRDefault="003D7B0B" w:rsidP="00884D6C">
      <w:pPr>
        <w:pStyle w:val="berschrift1"/>
      </w:pPr>
      <w:r w:rsidRPr="008F44C6">
        <w:t>3</w:t>
      </w:r>
      <w:r w:rsidRPr="008F44C6">
        <w:tab/>
        <w:t>Bedarf</w:t>
      </w:r>
    </w:p>
    <w:p w:rsidR="003D7B0B" w:rsidRPr="008F44C6" w:rsidRDefault="00884D6C" w:rsidP="00884D6C">
      <w:pPr>
        <w:pStyle w:val="berschrift2"/>
      </w:pPr>
      <w:r w:rsidRPr="008F44C6">
        <w:t>3.1</w:t>
      </w:r>
      <w:r w:rsidRPr="008F44C6">
        <w:tab/>
      </w:r>
      <w:r w:rsidR="006E0575" w:rsidRPr="008F44C6">
        <w:t>Anlass</w:t>
      </w:r>
    </w:p>
    <w:p w:rsidR="003D7B0B" w:rsidRPr="008F44C6" w:rsidRDefault="003D7B0B" w:rsidP="00884D6C"/>
    <w:p w:rsidR="001E2E43" w:rsidRPr="008F44C6" w:rsidRDefault="00633155" w:rsidP="000C1BFD">
      <w:r w:rsidRPr="008F44C6">
        <w:t xml:space="preserve">Die Funktion des/der Wildtierbeauftragten ist durch Änderung des § 61 des Jagd- und Wildtiermanagementgesetzes zum 01.07.2020 zur Pflichtaufgabe der unteren Jagdbehörden geworden. </w:t>
      </w:r>
      <w:r w:rsidR="00826506" w:rsidRPr="008F44C6">
        <w:t xml:space="preserve">Die </w:t>
      </w:r>
      <w:r w:rsidR="00CA39BA" w:rsidRPr="008F44C6">
        <w:t xml:space="preserve">zu Pflichtaufgaben gewordenen </w:t>
      </w:r>
      <w:r w:rsidR="00826506" w:rsidRPr="008F44C6">
        <w:t xml:space="preserve">Aufgaben </w:t>
      </w:r>
      <w:r w:rsidR="00A67399" w:rsidRPr="008F44C6">
        <w:t>eines/</w:t>
      </w:r>
      <w:r w:rsidR="004B4B40" w:rsidRPr="008F44C6">
        <w:t>einer</w:t>
      </w:r>
      <w:r w:rsidR="001E2E43" w:rsidRPr="008F44C6">
        <w:t xml:space="preserve"> </w:t>
      </w:r>
      <w:r w:rsidR="00A67399" w:rsidRPr="008F44C6">
        <w:t>W</w:t>
      </w:r>
      <w:r w:rsidR="008A62D3" w:rsidRPr="008F44C6">
        <w:t>ildtierbeauftragten</w:t>
      </w:r>
      <w:r w:rsidR="001E2E43" w:rsidRPr="008F44C6">
        <w:t xml:space="preserve"> </w:t>
      </w:r>
      <w:r w:rsidR="00CA39BA" w:rsidRPr="008F44C6">
        <w:t xml:space="preserve">werden im Jagd- und Wildtiermanagementgesetzes </w:t>
      </w:r>
      <w:r w:rsidR="00612B2B" w:rsidRPr="008F44C6">
        <w:t xml:space="preserve">geregelt. Diese </w:t>
      </w:r>
      <w:r w:rsidR="001E2E43" w:rsidRPr="008F44C6">
        <w:t>sind</w:t>
      </w:r>
      <w:r w:rsidR="008A62D3" w:rsidRPr="008F44C6">
        <w:t xml:space="preserve"> im</w:t>
      </w:r>
      <w:r w:rsidR="00C85433" w:rsidRPr="008F44C6">
        <w:t xml:space="preserve"> E</w:t>
      </w:r>
      <w:r w:rsidR="008A62D3" w:rsidRPr="008F44C6">
        <w:t>inzelnen</w:t>
      </w:r>
      <w:r w:rsidR="001E2E43" w:rsidRPr="008F44C6">
        <w:t>:</w:t>
      </w:r>
    </w:p>
    <w:p w:rsidR="001E2E43" w:rsidRPr="008F44C6" w:rsidRDefault="001E2E43" w:rsidP="000C1BFD"/>
    <w:p w:rsidR="001E2E43" w:rsidRPr="008F44C6" w:rsidRDefault="001E2E43" w:rsidP="001E2E43">
      <w:pPr>
        <w:numPr>
          <w:ilvl w:val="0"/>
          <w:numId w:val="10"/>
        </w:numPr>
      </w:pPr>
      <w:r w:rsidRPr="008F44C6">
        <w:t>Beratung von Bürgern, öffentlichen Stellen u.</w:t>
      </w:r>
      <w:r w:rsidR="00451471" w:rsidRPr="008F44C6">
        <w:t xml:space="preserve"> </w:t>
      </w:r>
      <w:r w:rsidRPr="008F44C6">
        <w:t xml:space="preserve">a. zu Wildtieren im Siedlungsraum </w:t>
      </w:r>
    </w:p>
    <w:p w:rsidR="001E2E43" w:rsidRPr="008F44C6" w:rsidRDefault="001E2E43" w:rsidP="001E2E43">
      <w:pPr>
        <w:numPr>
          <w:ilvl w:val="0"/>
          <w:numId w:val="8"/>
        </w:numPr>
      </w:pPr>
      <w:r w:rsidRPr="008F44C6">
        <w:t xml:space="preserve">Beratung des Jagdbeirats </w:t>
      </w:r>
    </w:p>
    <w:p w:rsidR="001E2E43" w:rsidRPr="008F44C6" w:rsidRDefault="001E2E43" w:rsidP="001E2E43">
      <w:pPr>
        <w:numPr>
          <w:ilvl w:val="0"/>
          <w:numId w:val="8"/>
        </w:numPr>
      </w:pPr>
      <w:r w:rsidRPr="008F44C6">
        <w:t>Ansprechpartner</w:t>
      </w:r>
      <w:r w:rsidR="00826506" w:rsidRPr="008F44C6">
        <w:t>*in</w:t>
      </w:r>
      <w:r w:rsidRPr="008F44C6">
        <w:t xml:space="preserve"> für Hegegemeinschaften </w:t>
      </w:r>
      <w:r w:rsidR="00F9007D" w:rsidRPr="008F44C6">
        <w:t>und</w:t>
      </w:r>
      <w:r w:rsidRPr="008F44C6">
        <w:t xml:space="preserve"> Jagdausübungsberechtigten</w:t>
      </w:r>
    </w:p>
    <w:p w:rsidR="001E2E43" w:rsidRPr="008F44C6" w:rsidRDefault="001E2E43" w:rsidP="001E2E43">
      <w:pPr>
        <w:numPr>
          <w:ilvl w:val="0"/>
          <w:numId w:val="8"/>
        </w:numPr>
      </w:pPr>
      <w:r w:rsidRPr="008F44C6">
        <w:t xml:space="preserve">fachliche Beratung zur Vermeidung </w:t>
      </w:r>
      <w:r w:rsidR="00F9007D" w:rsidRPr="008F44C6">
        <w:t xml:space="preserve">und </w:t>
      </w:r>
      <w:r w:rsidRPr="008F44C6">
        <w:t>zum Ausgleich von Wildschäden</w:t>
      </w:r>
    </w:p>
    <w:p w:rsidR="001E2E43" w:rsidRPr="008F44C6" w:rsidRDefault="00C85433" w:rsidP="001E2E43">
      <w:pPr>
        <w:numPr>
          <w:ilvl w:val="0"/>
          <w:numId w:val="8"/>
        </w:numPr>
      </w:pPr>
      <w:r w:rsidRPr="008F44C6">
        <w:t>Beratung und</w:t>
      </w:r>
      <w:r w:rsidR="001E2E43" w:rsidRPr="008F44C6">
        <w:t xml:space="preserve"> Koordination von Präventivmaßnahmen zur </w:t>
      </w:r>
      <w:r w:rsidR="00F9007D" w:rsidRPr="008F44C6">
        <w:t>Afrikanischen Schweinepest und</w:t>
      </w:r>
      <w:r w:rsidR="001E2E43" w:rsidRPr="008F44C6">
        <w:t xml:space="preserve"> anderen Tierseuchen</w:t>
      </w:r>
    </w:p>
    <w:p w:rsidR="001E2E43" w:rsidRPr="008F44C6" w:rsidRDefault="001E2E43" w:rsidP="001E2E43">
      <w:pPr>
        <w:numPr>
          <w:ilvl w:val="0"/>
          <w:numId w:val="8"/>
        </w:numPr>
      </w:pPr>
      <w:r w:rsidRPr="008F44C6">
        <w:t xml:space="preserve">Anpassung von Notfall- </w:t>
      </w:r>
      <w:r w:rsidR="00F9007D" w:rsidRPr="008F44C6">
        <w:t xml:space="preserve">und </w:t>
      </w:r>
      <w:r w:rsidRPr="008F44C6">
        <w:t>Katastrophenplänen für die Teilbereiche Jagd</w:t>
      </w:r>
      <w:r w:rsidR="00F9007D" w:rsidRPr="008F44C6">
        <w:t>-</w:t>
      </w:r>
      <w:r w:rsidRPr="008F44C6">
        <w:t xml:space="preserve"> u</w:t>
      </w:r>
      <w:r w:rsidR="00F9007D" w:rsidRPr="008F44C6">
        <w:t>nd</w:t>
      </w:r>
      <w:r w:rsidR="00F9007D" w:rsidRPr="008F44C6">
        <w:br/>
        <w:t>W</w:t>
      </w:r>
      <w:r w:rsidRPr="008F44C6">
        <w:t xml:space="preserve">ildtiere </w:t>
      </w:r>
    </w:p>
    <w:p w:rsidR="001E2E43" w:rsidRPr="008F44C6" w:rsidRDefault="001E2E43" w:rsidP="001E2E43">
      <w:pPr>
        <w:numPr>
          <w:ilvl w:val="0"/>
          <w:numId w:val="8"/>
        </w:numPr>
      </w:pPr>
      <w:r w:rsidRPr="008F44C6">
        <w:t>Mitwirkung bei der Ausweisung von Wildruhegebieten</w:t>
      </w:r>
    </w:p>
    <w:p w:rsidR="001E2E43" w:rsidRPr="008F44C6" w:rsidRDefault="001E2E43" w:rsidP="001E2E43">
      <w:pPr>
        <w:numPr>
          <w:ilvl w:val="0"/>
          <w:numId w:val="8"/>
        </w:numPr>
      </w:pPr>
      <w:r w:rsidRPr="008F44C6">
        <w:lastRenderedPageBreak/>
        <w:t>Erfassung u</w:t>
      </w:r>
      <w:r w:rsidR="003E00B5" w:rsidRPr="008F44C6">
        <w:t>nd</w:t>
      </w:r>
      <w:r w:rsidRPr="008F44C6">
        <w:t xml:space="preserve"> Dokumentation von Wildunfallschwerpunkten</w:t>
      </w:r>
    </w:p>
    <w:p w:rsidR="001E2E43" w:rsidRPr="008F44C6" w:rsidRDefault="001E2E43" w:rsidP="001E2E43">
      <w:pPr>
        <w:numPr>
          <w:ilvl w:val="0"/>
          <w:numId w:val="9"/>
        </w:numPr>
      </w:pPr>
      <w:r w:rsidRPr="008F44C6">
        <w:t xml:space="preserve">Unterstützung </w:t>
      </w:r>
      <w:r w:rsidR="00F9007D" w:rsidRPr="008F44C6">
        <w:t>und</w:t>
      </w:r>
      <w:r w:rsidRPr="008F44C6">
        <w:t xml:space="preserve"> Koordination von Maßnahmen im Bereich de</w:t>
      </w:r>
      <w:r w:rsidR="00F9007D" w:rsidRPr="008F44C6">
        <w:t>s gesetzlich vorgeschriebenen</w:t>
      </w:r>
      <w:r w:rsidRPr="008F44C6">
        <w:t xml:space="preserve"> Wildtiermonitorings </w:t>
      </w:r>
      <w:r w:rsidR="00F9007D" w:rsidRPr="008F44C6">
        <w:t>(§ 43 JWMG)</w:t>
      </w:r>
      <w:r w:rsidRPr="008F44C6">
        <w:br/>
        <w:t>- Sicherstellung der Erfassung u</w:t>
      </w:r>
      <w:r w:rsidR="00EF70E7" w:rsidRPr="008F44C6">
        <w:t>nd</w:t>
      </w:r>
      <w:r w:rsidRPr="008F44C6">
        <w:t xml:space="preserve"> Überprüfung von Wildtierdaten</w:t>
      </w:r>
      <w:r w:rsidRPr="008F44C6">
        <w:br/>
        <w:t xml:space="preserve">- Austausch von Informationen zwischen den am Monitoring beteiligten Personen </w:t>
      </w:r>
      <w:r w:rsidR="00F9007D" w:rsidRPr="008F44C6">
        <w:br/>
        <w:t xml:space="preserve">  und</w:t>
      </w:r>
      <w:r w:rsidRPr="008F44C6">
        <w:t xml:space="preserve"> den zuständigen Fachbehörden</w:t>
      </w:r>
      <w:r w:rsidRPr="008F44C6">
        <w:br/>
        <w:t xml:space="preserve">- Entwicklung </w:t>
      </w:r>
      <w:r w:rsidR="00F9007D" w:rsidRPr="008F44C6">
        <w:t>und</w:t>
      </w:r>
      <w:r w:rsidRPr="008F44C6">
        <w:t xml:space="preserve"> Etablierung eines Monitoring-Netzwerkes, über das die </w:t>
      </w:r>
      <w:r w:rsidR="00F9007D" w:rsidRPr="008F44C6">
        <w:br/>
        <w:t xml:space="preserve">  </w:t>
      </w:r>
      <w:r w:rsidRPr="008F44C6">
        <w:t xml:space="preserve">konkrete Anwendung der in der Wildtierforschung entwickelten standardisierten </w:t>
      </w:r>
      <w:r w:rsidR="00F9007D" w:rsidRPr="008F44C6">
        <w:br/>
        <w:t xml:space="preserve">  </w:t>
      </w:r>
      <w:r w:rsidRPr="008F44C6">
        <w:t xml:space="preserve">Methoden in der Praxis sichergestellt werden kann </w:t>
      </w:r>
    </w:p>
    <w:p w:rsidR="001E2E43" w:rsidRPr="008F44C6" w:rsidRDefault="00F9007D" w:rsidP="001E2E43">
      <w:pPr>
        <w:numPr>
          <w:ilvl w:val="0"/>
          <w:numId w:val="9"/>
        </w:numPr>
      </w:pPr>
      <w:r w:rsidRPr="008F44C6">
        <w:t>Erstellung, Koordinierung und</w:t>
      </w:r>
      <w:r w:rsidR="001E2E43" w:rsidRPr="008F44C6">
        <w:t xml:space="preserve"> Betreuung von Konzepten sowie deren Umsetzung, insbesondere im Bereich der Bejagung (z.</w:t>
      </w:r>
      <w:r w:rsidR="003E00B5" w:rsidRPr="008F44C6">
        <w:t xml:space="preserve"> </w:t>
      </w:r>
      <w:r w:rsidRPr="008F44C6">
        <w:t>B. Begleitung der Aufstellung und</w:t>
      </w:r>
      <w:r w:rsidR="001E2E43" w:rsidRPr="008F44C6">
        <w:t xml:space="preserve"> Umsetzung von Fachkonz</w:t>
      </w:r>
      <w:r w:rsidRPr="008F44C6">
        <w:t>epten beispielsweise zur Hege und</w:t>
      </w:r>
      <w:r w:rsidR="001E2E43" w:rsidRPr="008F44C6">
        <w:t xml:space="preserve"> Bejagung oder zur Seuchen-Prophylaxe, die einer Koordination bedürfen)</w:t>
      </w:r>
    </w:p>
    <w:p w:rsidR="001E2E43" w:rsidRPr="008F44C6" w:rsidRDefault="001E2E43" w:rsidP="001E2E43">
      <w:pPr>
        <w:numPr>
          <w:ilvl w:val="0"/>
          <w:numId w:val="9"/>
        </w:numPr>
      </w:pPr>
      <w:r w:rsidRPr="008F44C6">
        <w:t xml:space="preserve">Förderung der Verbreitung wildtierökologischer Kenntnisse </w:t>
      </w:r>
    </w:p>
    <w:p w:rsidR="001E2E43" w:rsidRPr="008F44C6" w:rsidRDefault="001E2E43" w:rsidP="001E2E43"/>
    <w:p w:rsidR="00DF0AD4" w:rsidRPr="008F44C6" w:rsidRDefault="00DF0AD4" w:rsidP="00DF0AD4">
      <w:pPr>
        <w:pStyle w:val="berschrift2"/>
      </w:pPr>
      <w:r w:rsidRPr="008F44C6">
        <w:t>3.2</w:t>
      </w:r>
      <w:r w:rsidRPr="008F44C6">
        <w:tab/>
        <w:t>Bisherige Aufgabenwahrnehmung</w:t>
      </w:r>
    </w:p>
    <w:p w:rsidR="00610D8E" w:rsidRPr="008F44C6" w:rsidRDefault="00610D8E" w:rsidP="00610D8E"/>
    <w:p w:rsidR="00626CCF" w:rsidRPr="008F44C6" w:rsidRDefault="00AF2426" w:rsidP="00610D8E">
      <w:r w:rsidRPr="008F44C6">
        <w:t>Bis Ende 2019</w:t>
      </w:r>
      <w:r w:rsidR="00610D8E" w:rsidRPr="008F44C6">
        <w:t xml:space="preserve"> </w:t>
      </w:r>
      <w:r w:rsidR="00CA39BA" w:rsidRPr="008F44C6">
        <w:t xml:space="preserve">war die Funktion </w:t>
      </w:r>
      <w:r w:rsidR="00A67399" w:rsidRPr="008F44C6">
        <w:t>des/</w:t>
      </w:r>
      <w:r w:rsidR="00CA39BA" w:rsidRPr="008F44C6">
        <w:t>der</w:t>
      </w:r>
      <w:r w:rsidR="004B4B40" w:rsidRPr="008F44C6">
        <w:t xml:space="preserve"> </w:t>
      </w:r>
      <w:r w:rsidR="00A67399" w:rsidRPr="008F44C6">
        <w:t>W</w:t>
      </w:r>
      <w:r w:rsidR="00855067" w:rsidRPr="008F44C6">
        <w:t>ildtierbeauftragten</w:t>
      </w:r>
      <w:r w:rsidR="00826506" w:rsidRPr="008F44C6">
        <w:t xml:space="preserve"> </w:t>
      </w:r>
      <w:r w:rsidR="00CA39BA" w:rsidRPr="008F44C6">
        <w:t xml:space="preserve">bei </w:t>
      </w:r>
      <w:r w:rsidR="00610D8E" w:rsidRPr="008F44C6">
        <w:t>eine</w:t>
      </w:r>
      <w:r w:rsidR="00CA39BA" w:rsidRPr="008F44C6">
        <w:t>m</w:t>
      </w:r>
      <w:r w:rsidR="00610D8E" w:rsidRPr="008F44C6">
        <w:t xml:space="preserve"> </w:t>
      </w:r>
      <w:r w:rsidR="00197D62" w:rsidRPr="008F44C6">
        <w:t>bei</w:t>
      </w:r>
      <w:r w:rsidR="008457A0" w:rsidRPr="008F44C6">
        <w:t>m</w:t>
      </w:r>
      <w:r w:rsidR="00197D62" w:rsidRPr="008F44C6">
        <w:t xml:space="preserve"> Garten-, Friedhofs- und Forstamt </w:t>
      </w:r>
      <w:r w:rsidR="009B6379" w:rsidRPr="008F44C6">
        <w:t>angestellten</w:t>
      </w:r>
      <w:r w:rsidR="008457A0" w:rsidRPr="008F44C6">
        <w:t xml:space="preserve"> </w:t>
      </w:r>
      <w:r w:rsidRPr="008F44C6">
        <w:t xml:space="preserve">Beschäftigten mit </w:t>
      </w:r>
      <w:r w:rsidR="00D1042D" w:rsidRPr="008F44C6">
        <w:t>der</w:t>
      </w:r>
      <w:r w:rsidRPr="008F44C6">
        <w:t xml:space="preserve"> erforderlichen Qualifikation</w:t>
      </w:r>
      <w:r w:rsidR="00D1042D" w:rsidRPr="008F44C6">
        <w:t xml:space="preserve"> und Sachkunde </w:t>
      </w:r>
      <w:r w:rsidR="00CA39BA" w:rsidRPr="008F44C6">
        <w:t xml:space="preserve">angesiedelt, welcher in eingeschränktem Umfang die bisher in einer Soll-Regelung definierten Aufgaben </w:t>
      </w:r>
      <w:r w:rsidR="008457A0" w:rsidRPr="008F44C6">
        <w:t>wahrgenommen</w:t>
      </w:r>
      <w:r w:rsidR="00CA39BA" w:rsidRPr="008F44C6">
        <w:t xml:space="preserve"> hat</w:t>
      </w:r>
      <w:r w:rsidR="00F120E5" w:rsidRPr="008F44C6">
        <w:t>, ohne dass dafür spezielle Stellenanteile vorhanden waren</w:t>
      </w:r>
      <w:r w:rsidR="008457A0" w:rsidRPr="008F44C6">
        <w:t xml:space="preserve">. </w:t>
      </w:r>
      <w:r w:rsidR="00612B2B" w:rsidRPr="008F44C6">
        <w:t xml:space="preserve">Mit dem Aufgabenzuwachs im Zuge der Forstreform konnte diese Aufgabe ab 2020 von dort nicht mehr mit übernommen werden. </w:t>
      </w:r>
    </w:p>
    <w:p w:rsidR="00040BFC" w:rsidRPr="008F44C6" w:rsidRDefault="00040BFC" w:rsidP="00040BFC">
      <w:pPr>
        <w:pStyle w:val="berschrift2"/>
      </w:pPr>
      <w:r w:rsidRPr="008F44C6">
        <w:t>3.3</w:t>
      </w:r>
      <w:r w:rsidRPr="008F44C6">
        <w:tab/>
        <w:t>Auswirkungen bei Ablehnung der Stellenschaffungen</w:t>
      </w:r>
    </w:p>
    <w:p w:rsidR="00040BFC" w:rsidRPr="008F44C6" w:rsidRDefault="00040BFC" w:rsidP="00884D6C"/>
    <w:p w:rsidR="00316B97" w:rsidRPr="008F44C6" w:rsidRDefault="00A67399" w:rsidP="00316B97">
      <w:r w:rsidRPr="008F44C6">
        <w:t xml:space="preserve">Das Gesetz sieht zudem die Ansiedlung der Wildtierbeauftragten Person bei der Unteren Jagdbehörde vor. </w:t>
      </w:r>
      <w:r w:rsidR="00316B97" w:rsidRPr="008F44C6">
        <w:t>Die Heranziehung vorhandener Stellenanteile der Dienststelle oder des Amts für öffentliche Ordnung ist nicht möglich, ohne die Wahrnehmung anderer zwingender weisungsgebundener Pflichtaufgaben einschneidend zu beeinträchtigen.</w:t>
      </w:r>
    </w:p>
    <w:p w:rsidR="00316B97" w:rsidRPr="008F44C6" w:rsidRDefault="00316B97" w:rsidP="00316B97"/>
    <w:p w:rsidR="00612B2B" w:rsidRPr="008F44C6" w:rsidRDefault="00612B2B" w:rsidP="00F120E5">
      <w:r w:rsidRPr="008F44C6">
        <w:t xml:space="preserve">Von zentraler Bedeutung ist, dass die Aufgaben </w:t>
      </w:r>
      <w:r w:rsidR="00A67399" w:rsidRPr="008F44C6">
        <w:t>des/</w:t>
      </w:r>
      <w:r w:rsidRPr="008F44C6">
        <w:t>der Wildtierbeauftragten eine spezielle Sachkunde in den Bereichen Wildtiermanagement und Naturschutz erfordern, die bei der Dienststelle bzw. dem Amt für öffentliche Ordnung derzeit nicht vorhanden ist. M</w:t>
      </w:r>
      <w:r w:rsidR="00F120E5" w:rsidRPr="008F44C6">
        <w:t xml:space="preserve">it dem vorhandenen Personal </w:t>
      </w:r>
      <w:r w:rsidRPr="008F44C6">
        <w:t xml:space="preserve">kann die Aufgabe daher </w:t>
      </w:r>
      <w:r w:rsidR="00F120E5" w:rsidRPr="008F44C6">
        <w:t xml:space="preserve">nur rudimentär </w:t>
      </w:r>
      <w:r w:rsidRPr="008F44C6">
        <w:t>erledigt werden</w:t>
      </w:r>
      <w:r w:rsidR="00A67399" w:rsidRPr="008F44C6">
        <w:t>.</w:t>
      </w:r>
    </w:p>
    <w:p w:rsidR="003D7B0B" w:rsidRPr="008F44C6" w:rsidRDefault="00884D6C" w:rsidP="00884D6C">
      <w:pPr>
        <w:pStyle w:val="berschrift1"/>
      </w:pPr>
      <w:r w:rsidRPr="008F44C6">
        <w:t>4</w:t>
      </w:r>
      <w:r w:rsidRPr="008F44C6">
        <w:tab/>
      </w:r>
      <w:r w:rsidR="003D7B0B" w:rsidRPr="008F44C6">
        <w:t>Stellenvermerke</w:t>
      </w:r>
    </w:p>
    <w:p w:rsidR="003D7B0B" w:rsidRPr="008F44C6" w:rsidRDefault="003D7B0B" w:rsidP="00884D6C"/>
    <w:p w:rsidR="006E0575" w:rsidRPr="008F44C6" w:rsidRDefault="00EF70E7" w:rsidP="00884D6C">
      <w:r w:rsidRPr="008F44C6">
        <w:t>K</w:t>
      </w:r>
      <w:r w:rsidR="00CB1729" w:rsidRPr="008F44C6">
        <w:t>eine</w:t>
      </w:r>
      <w:r w:rsidRPr="008F44C6">
        <w:t>.</w:t>
      </w:r>
    </w:p>
    <w:sectPr w:rsidR="006E0575" w:rsidRPr="008F44C6" w:rsidSect="00200AB4">
      <w:headerReference w:type="default" r:id="rId7"/>
      <w:pgSz w:w="11907" w:h="16840" w:code="9"/>
      <w:pgMar w:top="1418" w:right="992" w:bottom="1418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64" w:rsidRDefault="00E82D64">
      <w:r>
        <w:separator/>
      </w:r>
    </w:p>
  </w:endnote>
  <w:endnote w:type="continuationSeparator" w:id="0">
    <w:p w:rsidR="00E82D64" w:rsidRDefault="00E8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64" w:rsidRDefault="00E82D64">
      <w:r>
        <w:separator/>
      </w:r>
    </w:p>
  </w:footnote>
  <w:footnote w:type="continuationSeparator" w:id="0">
    <w:p w:rsidR="00E82D64" w:rsidRDefault="00E82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64" w:rsidRDefault="00E82D64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67C3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E82D64" w:rsidRDefault="00E82D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7E41BE"/>
    <w:multiLevelType w:val="hybridMultilevel"/>
    <w:tmpl w:val="9E4A1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25E2"/>
    <w:multiLevelType w:val="hybridMultilevel"/>
    <w:tmpl w:val="8D7C5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4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1C8E237A"/>
    <w:multiLevelType w:val="hybridMultilevel"/>
    <w:tmpl w:val="DBE2FD9C"/>
    <w:lvl w:ilvl="0" w:tplc="E436A6A4">
      <w:numFmt w:val="bullet"/>
      <w:lvlText w:val="•"/>
      <w:lvlJc w:val="left"/>
      <w:pPr>
        <w:ind w:left="712" w:hanging="57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2FD4CF0"/>
    <w:multiLevelType w:val="hybridMultilevel"/>
    <w:tmpl w:val="CAD6F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8" w15:restartNumberingAfterBreak="0">
    <w:nsid w:val="590E3CA7"/>
    <w:multiLevelType w:val="hybridMultilevel"/>
    <w:tmpl w:val="71542128"/>
    <w:lvl w:ilvl="0" w:tplc="C2BE67B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A0EF0"/>
    <w:multiLevelType w:val="hybridMultilevel"/>
    <w:tmpl w:val="7F320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B3ACF"/>
    <w:multiLevelType w:val="hybridMultilevel"/>
    <w:tmpl w:val="ACE2000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2" w15:restartNumberingAfterBreak="0">
    <w:nsid w:val="73B377DA"/>
    <w:multiLevelType w:val="hybridMultilevel"/>
    <w:tmpl w:val="5066BA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12"/>
  </w:num>
  <w:num w:numId="10">
    <w:abstractNumId w:val="9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de-DE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EF"/>
    <w:rsid w:val="00012CE7"/>
    <w:rsid w:val="00021472"/>
    <w:rsid w:val="00040BFC"/>
    <w:rsid w:val="0005350F"/>
    <w:rsid w:val="00064D3B"/>
    <w:rsid w:val="00066170"/>
    <w:rsid w:val="00080AFC"/>
    <w:rsid w:val="0009053B"/>
    <w:rsid w:val="00090A10"/>
    <w:rsid w:val="000A1146"/>
    <w:rsid w:val="000B5270"/>
    <w:rsid w:val="000C1BFD"/>
    <w:rsid w:val="000C1E5E"/>
    <w:rsid w:val="000E6AC6"/>
    <w:rsid w:val="000F2F85"/>
    <w:rsid w:val="00104F78"/>
    <w:rsid w:val="0011112B"/>
    <w:rsid w:val="0014415D"/>
    <w:rsid w:val="00145FD6"/>
    <w:rsid w:val="00163034"/>
    <w:rsid w:val="00165C0D"/>
    <w:rsid w:val="00167C34"/>
    <w:rsid w:val="001745D4"/>
    <w:rsid w:val="00181857"/>
    <w:rsid w:val="00184EDC"/>
    <w:rsid w:val="00194770"/>
    <w:rsid w:val="00197D62"/>
    <w:rsid w:val="001A5543"/>
    <w:rsid w:val="001A5F9B"/>
    <w:rsid w:val="001B2CB4"/>
    <w:rsid w:val="001B3791"/>
    <w:rsid w:val="001C1EAB"/>
    <w:rsid w:val="001D4E25"/>
    <w:rsid w:val="001E2A10"/>
    <w:rsid w:val="001E2E43"/>
    <w:rsid w:val="001F51C3"/>
    <w:rsid w:val="001F7237"/>
    <w:rsid w:val="00200AB4"/>
    <w:rsid w:val="002212A7"/>
    <w:rsid w:val="0022286F"/>
    <w:rsid w:val="002558ED"/>
    <w:rsid w:val="00257916"/>
    <w:rsid w:val="00260667"/>
    <w:rsid w:val="00287866"/>
    <w:rsid w:val="002924CB"/>
    <w:rsid w:val="002A20D1"/>
    <w:rsid w:val="002A5019"/>
    <w:rsid w:val="002B5955"/>
    <w:rsid w:val="002C71FA"/>
    <w:rsid w:val="002D2FA4"/>
    <w:rsid w:val="002D794A"/>
    <w:rsid w:val="002E3B7C"/>
    <w:rsid w:val="00316B97"/>
    <w:rsid w:val="0033127C"/>
    <w:rsid w:val="00380937"/>
    <w:rsid w:val="003879A8"/>
    <w:rsid w:val="003B4E1C"/>
    <w:rsid w:val="003D7B0B"/>
    <w:rsid w:val="003E00B5"/>
    <w:rsid w:val="00404189"/>
    <w:rsid w:val="004136CA"/>
    <w:rsid w:val="00426BB0"/>
    <w:rsid w:val="00435766"/>
    <w:rsid w:val="00444836"/>
    <w:rsid w:val="00447A5D"/>
    <w:rsid w:val="00451471"/>
    <w:rsid w:val="00470135"/>
    <w:rsid w:val="0047606A"/>
    <w:rsid w:val="004908B5"/>
    <w:rsid w:val="0049121B"/>
    <w:rsid w:val="00497E8C"/>
    <w:rsid w:val="004A1688"/>
    <w:rsid w:val="004B4B40"/>
    <w:rsid w:val="004B6796"/>
    <w:rsid w:val="004B6B4D"/>
    <w:rsid w:val="005238DA"/>
    <w:rsid w:val="00534C0A"/>
    <w:rsid w:val="00555E01"/>
    <w:rsid w:val="00567134"/>
    <w:rsid w:val="0057535F"/>
    <w:rsid w:val="0058384D"/>
    <w:rsid w:val="005A04CF"/>
    <w:rsid w:val="005A0A9D"/>
    <w:rsid w:val="005A56AA"/>
    <w:rsid w:val="005C307E"/>
    <w:rsid w:val="005C464F"/>
    <w:rsid w:val="005D264E"/>
    <w:rsid w:val="005E19C6"/>
    <w:rsid w:val="005F0BDF"/>
    <w:rsid w:val="005F5B3D"/>
    <w:rsid w:val="00606F80"/>
    <w:rsid w:val="00610D8E"/>
    <w:rsid w:val="00612B2B"/>
    <w:rsid w:val="00626CCF"/>
    <w:rsid w:val="00633155"/>
    <w:rsid w:val="0063483D"/>
    <w:rsid w:val="00635307"/>
    <w:rsid w:val="0066552B"/>
    <w:rsid w:val="00672877"/>
    <w:rsid w:val="006A1BD3"/>
    <w:rsid w:val="006A61E3"/>
    <w:rsid w:val="006B6D50"/>
    <w:rsid w:val="006D63AA"/>
    <w:rsid w:val="006E0575"/>
    <w:rsid w:val="006F189A"/>
    <w:rsid w:val="006F62C0"/>
    <w:rsid w:val="007040D8"/>
    <w:rsid w:val="00720BE3"/>
    <w:rsid w:val="00722AFF"/>
    <w:rsid w:val="00730180"/>
    <w:rsid w:val="00733612"/>
    <w:rsid w:val="00750584"/>
    <w:rsid w:val="00754659"/>
    <w:rsid w:val="0077185F"/>
    <w:rsid w:val="00773B2A"/>
    <w:rsid w:val="00773B52"/>
    <w:rsid w:val="00775A7E"/>
    <w:rsid w:val="007A6721"/>
    <w:rsid w:val="007E3625"/>
    <w:rsid w:val="007E3B79"/>
    <w:rsid w:val="0080246F"/>
    <w:rsid w:val="008066EE"/>
    <w:rsid w:val="00817BB6"/>
    <w:rsid w:val="00826506"/>
    <w:rsid w:val="00834598"/>
    <w:rsid w:val="00834BCE"/>
    <w:rsid w:val="00835E03"/>
    <w:rsid w:val="008457A0"/>
    <w:rsid w:val="00850C64"/>
    <w:rsid w:val="00855067"/>
    <w:rsid w:val="00862BEB"/>
    <w:rsid w:val="00862EDB"/>
    <w:rsid w:val="00864227"/>
    <w:rsid w:val="00871350"/>
    <w:rsid w:val="00884D6C"/>
    <w:rsid w:val="00890910"/>
    <w:rsid w:val="008A62D3"/>
    <w:rsid w:val="008E2522"/>
    <w:rsid w:val="008F1A98"/>
    <w:rsid w:val="008F3257"/>
    <w:rsid w:val="008F44C6"/>
    <w:rsid w:val="008F6501"/>
    <w:rsid w:val="009002FF"/>
    <w:rsid w:val="00901443"/>
    <w:rsid w:val="00924A9F"/>
    <w:rsid w:val="00950FCE"/>
    <w:rsid w:val="00951A7E"/>
    <w:rsid w:val="00952B69"/>
    <w:rsid w:val="00971FCF"/>
    <w:rsid w:val="009725BC"/>
    <w:rsid w:val="00976588"/>
    <w:rsid w:val="0098364F"/>
    <w:rsid w:val="009A16FB"/>
    <w:rsid w:val="009B6379"/>
    <w:rsid w:val="009E6DDA"/>
    <w:rsid w:val="009F0C95"/>
    <w:rsid w:val="00A06F82"/>
    <w:rsid w:val="00A22350"/>
    <w:rsid w:val="00A224B9"/>
    <w:rsid w:val="00A232FC"/>
    <w:rsid w:val="00A27CA7"/>
    <w:rsid w:val="00A46C66"/>
    <w:rsid w:val="00A53A1A"/>
    <w:rsid w:val="00A53D26"/>
    <w:rsid w:val="00A67399"/>
    <w:rsid w:val="00A71D0A"/>
    <w:rsid w:val="00A77F1E"/>
    <w:rsid w:val="00AB5B50"/>
    <w:rsid w:val="00AC09EE"/>
    <w:rsid w:val="00AD3301"/>
    <w:rsid w:val="00AE1ED2"/>
    <w:rsid w:val="00AF2426"/>
    <w:rsid w:val="00AF4873"/>
    <w:rsid w:val="00B04290"/>
    <w:rsid w:val="00B2097D"/>
    <w:rsid w:val="00B2759B"/>
    <w:rsid w:val="00B80DEF"/>
    <w:rsid w:val="00B9672C"/>
    <w:rsid w:val="00BC4669"/>
    <w:rsid w:val="00BC545D"/>
    <w:rsid w:val="00BC7001"/>
    <w:rsid w:val="00BE5782"/>
    <w:rsid w:val="00C020D8"/>
    <w:rsid w:val="00C16EF1"/>
    <w:rsid w:val="00C24522"/>
    <w:rsid w:val="00C25355"/>
    <w:rsid w:val="00C448D3"/>
    <w:rsid w:val="00C453AE"/>
    <w:rsid w:val="00C85433"/>
    <w:rsid w:val="00CA39BA"/>
    <w:rsid w:val="00CB1729"/>
    <w:rsid w:val="00CB3F24"/>
    <w:rsid w:val="00CD4E1F"/>
    <w:rsid w:val="00CF7CFE"/>
    <w:rsid w:val="00D07CD8"/>
    <w:rsid w:val="00D1042D"/>
    <w:rsid w:val="00D22A13"/>
    <w:rsid w:val="00D553E8"/>
    <w:rsid w:val="00D92855"/>
    <w:rsid w:val="00D93DE0"/>
    <w:rsid w:val="00DB3D6C"/>
    <w:rsid w:val="00DD5015"/>
    <w:rsid w:val="00DE5B2D"/>
    <w:rsid w:val="00DF0AD4"/>
    <w:rsid w:val="00E014B6"/>
    <w:rsid w:val="00E014F5"/>
    <w:rsid w:val="00E1162F"/>
    <w:rsid w:val="00E11D5F"/>
    <w:rsid w:val="00E20E1F"/>
    <w:rsid w:val="00E21DF5"/>
    <w:rsid w:val="00E246A8"/>
    <w:rsid w:val="00E43500"/>
    <w:rsid w:val="00E7016A"/>
    <w:rsid w:val="00E7118F"/>
    <w:rsid w:val="00E8044C"/>
    <w:rsid w:val="00E82D64"/>
    <w:rsid w:val="00EA55EF"/>
    <w:rsid w:val="00EB0E82"/>
    <w:rsid w:val="00EE4A5E"/>
    <w:rsid w:val="00EF70E7"/>
    <w:rsid w:val="00F120E5"/>
    <w:rsid w:val="00F14376"/>
    <w:rsid w:val="00F27657"/>
    <w:rsid w:val="00F342DC"/>
    <w:rsid w:val="00F50515"/>
    <w:rsid w:val="00F63041"/>
    <w:rsid w:val="00F72267"/>
    <w:rsid w:val="00F76452"/>
    <w:rsid w:val="00F86B69"/>
    <w:rsid w:val="00F86DF8"/>
    <w:rsid w:val="00F9007D"/>
    <w:rsid w:val="00F956A6"/>
    <w:rsid w:val="00FA284C"/>
    <w:rsid w:val="00FA3506"/>
    <w:rsid w:val="00FB4A4D"/>
    <w:rsid w:val="00FD6B41"/>
    <w:rsid w:val="00FD6B46"/>
    <w:rsid w:val="00F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74D56"/>
  <w15:docId w15:val="{12AD20E3-DFCD-4445-90EE-C5CA6D3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F3257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8F3257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8F3257"/>
    <w:rPr>
      <w:sz w:val="16"/>
    </w:rPr>
  </w:style>
  <w:style w:type="paragraph" w:styleId="Kommentartext">
    <w:name w:val="annotation text"/>
    <w:basedOn w:val="Standard"/>
    <w:link w:val="KommentartextZchn"/>
    <w:semiHidden/>
    <w:rsid w:val="008F3257"/>
    <w:rPr>
      <w:sz w:val="20"/>
    </w:rPr>
  </w:style>
  <w:style w:type="paragraph" w:styleId="Fuzeile">
    <w:name w:val="footer"/>
    <w:basedOn w:val="Standard"/>
    <w:rsid w:val="008F3257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8F3257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Kommentarthema">
    <w:name w:val="annotation subject"/>
    <w:basedOn w:val="Kommentartext"/>
    <w:next w:val="Kommentartext"/>
    <w:link w:val="KommentarthemaZchn"/>
    <w:rsid w:val="00A53D26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A53D26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A53D26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9F0C95"/>
    <w:pPr>
      <w:ind w:left="720"/>
      <w:contextualSpacing/>
    </w:pPr>
  </w:style>
  <w:style w:type="paragraph" w:styleId="berarbeitung">
    <w:name w:val="Revision"/>
    <w:hidden/>
    <w:uiPriority w:val="99"/>
    <w:semiHidden/>
    <w:rsid w:val="0045147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keywords/>
  <dc:description/>
  <cp:lastModifiedBy>Baumann, Gerhard</cp:lastModifiedBy>
  <cp:revision>32</cp:revision>
  <cp:lastPrinted>2021-09-30T11:06:00Z</cp:lastPrinted>
  <dcterms:created xsi:type="dcterms:W3CDTF">2021-01-19T17:08:00Z</dcterms:created>
  <dcterms:modified xsi:type="dcterms:W3CDTF">2021-09-30T11:06:00Z</dcterms:modified>
</cp:coreProperties>
</file>