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CB303D" w:rsidRDefault="003D7B0B" w:rsidP="006E0575">
      <w:pPr>
        <w:tabs>
          <w:tab w:val="left" w:pos="5812"/>
        </w:tabs>
        <w:jc w:val="right"/>
        <w:rPr>
          <w:szCs w:val="24"/>
        </w:rPr>
      </w:pPr>
      <w:bookmarkStart w:id="0" w:name="_GoBack"/>
      <w:bookmarkEnd w:id="0"/>
      <w:r w:rsidRPr="00CB303D">
        <w:rPr>
          <w:szCs w:val="24"/>
        </w:rPr>
        <w:t xml:space="preserve">Anlage </w:t>
      </w:r>
      <w:r w:rsidR="00A41B5B">
        <w:rPr>
          <w:szCs w:val="24"/>
        </w:rPr>
        <w:t>5</w:t>
      </w:r>
      <w:r w:rsidRPr="00CB303D">
        <w:rPr>
          <w:szCs w:val="24"/>
        </w:rPr>
        <w:t xml:space="preserve"> zur GRDrs </w:t>
      </w:r>
      <w:r w:rsidR="00AE69B7">
        <w:rPr>
          <w:szCs w:val="24"/>
        </w:rPr>
        <w:t>703</w:t>
      </w:r>
      <w:r w:rsidR="005F5B3D" w:rsidRPr="00CB303D">
        <w:rPr>
          <w:szCs w:val="24"/>
        </w:rPr>
        <w:t>/2</w:t>
      </w:r>
      <w:r w:rsidR="004B6F19" w:rsidRPr="00CB303D">
        <w:rPr>
          <w:szCs w:val="24"/>
        </w:rPr>
        <w:t>021</w:t>
      </w:r>
    </w:p>
    <w:p w:rsidR="003D7B0B" w:rsidRPr="00CB303D" w:rsidRDefault="003D7B0B" w:rsidP="006E0575"/>
    <w:p w:rsidR="003D7B0B" w:rsidRPr="00CB303D" w:rsidRDefault="003D7B0B" w:rsidP="006E0575"/>
    <w:p w:rsidR="00184EDC" w:rsidRPr="00CB303D" w:rsidRDefault="003D7B0B" w:rsidP="005A56AA">
      <w:pPr>
        <w:tabs>
          <w:tab w:val="left" w:pos="6521"/>
        </w:tabs>
        <w:jc w:val="center"/>
        <w:rPr>
          <w:b/>
          <w:sz w:val="36"/>
        </w:rPr>
      </w:pPr>
      <w:r w:rsidRPr="00CB303D">
        <w:rPr>
          <w:b/>
          <w:sz w:val="36"/>
          <w:u w:val="single"/>
        </w:rPr>
        <w:t>Stellenschaffung</w:t>
      </w:r>
    </w:p>
    <w:p w:rsidR="003D7B0B" w:rsidRPr="00CB303D" w:rsidRDefault="00184EDC" w:rsidP="005A56AA">
      <w:pPr>
        <w:tabs>
          <w:tab w:val="left" w:pos="6521"/>
        </w:tabs>
        <w:jc w:val="center"/>
        <w:rPr>
          <w:b/>
          <w:sz w:val="36"/>
          <w:szCs w:val="36"/>
          <w:u w:val="single"/>
        </w:rPr>
      </w:pPr>
      <w:r w:rsidRPr="00CB303D">
        <w:rPr>
          <w:b/>
          <w:sz w:val="36"/>
          <w:u w:val="single"/>
        </w:rPr>
        <w:t xml:space="preserve">zum Stellenplan </w:t>
      </w:r>
      <w:r w:rsidRPr="00CB303D">
        <w:rPr>
          <w:b/>
          <w:sz w:val="36"/>
          <w:szCs w:val="36"/>
          <w:u w:val="single"/>
        </w:rPr>
        <w:t>20</w:t>
      </w:r>
      <w:r w:rsidR="00114952" w:rsidRPr="00CB303D">
        <w:rPr>
          <w:b/>
          <w:sz w:val="36"/>
          <w:szCs w:val="36"/>
          <w:u w:val="single"/>
        </w:rPr>
        <w:t>22</w:t>
      </w:r>
    </w:p>
    <w:p w:rsidR="007C4B02" w:rsidRPr="00CB303D" w:rsidRDefault="007C4B02" w:rsidP="005A56AA">
      <w:pPr>
        <w:tabs>
          <w:tab w:val="left" w:pos="6521"/>
        </w:tabs>
        <w:jc w:val="center"/>
        <w:rPr>
          <w:b/>
          <w:szCs w:val="24"/>
          <w:u w:val="single"/>
        </w:rPr>
      </w:pPr>
    </w:p>
    <w:p w:rsidR="003D7B0B" w:rsidRPr="00CB303D"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CB303D" w:rsidRPr="00CB303D" w:rsidTr="005F5B3D">
        <w:trPr>
          <w:tblHeader/>
        </w:trPr>
        <w:tc>
          <w:tcPr>
            <w:tcW w:w="1814" w:type="dxa"/>
            <w:shd w:val="pct12" w:color="auto" w:fill="FFFFFF"/>
            <w:vAlign w:val="center"/>
          </w:tcPr>
          <w:p w:rsidR="00184EDC" w:rsidRPr="00CB303D" w:rsidRDefault="005F5B3D" w:rsidP="005E19C6">
            <w:pPr>
              <w:spacing w:before="60" w:after="60" w:line="200" w:lineRule="exact"/>
              <w:ind w:left="-85" w:right="-85"/>
              <w:jc w:val="center"/>
              <w:rPr>
                <w:sz w:val="16"/>
                <w:szCs w:val="16"/>
              </w:rPr>
            </w:pPr>
            <w:r w:rsidRPr="00CB303D">
              <w:rPr>
                <w:sz w:val="16"/>
                <w:szCs w:val="16"/>
              </w:rPr>
              <w:t>Org.-Einheit</w:t>
            </w:r>
            <w:r w:rsidRPr="00CB303D">
              <w:rPr>
                <w:sz w:val="16"/>
                <w:szCs w:val="16"/>
              </w:rPr>
              <w:br/>
              <w:t>(aut. Stpl.)</w:t>
            </w:r>
            <w:r w:rsidR="00380937" w:rsidRPr="00CB303D">
              <w:rPr>
                <w:sz w:val="16"/>
                <w:szCs w:val="16"/>
              </w:rPr>
              <w:t>,</w:t>
            </w:r>
          </w:p>
          <w:p w:rsidR="005F5B3D" w:rsidRPr="00CB303D" w:rsidRDefault="005F5B3D" w:rsidP="005E19C6">
            <w:pPr>
              <w:spacing w:before="60" w:after="60" w:line="200" w:lineRule="exact"/>
              <w:ind w:left="-85" w:right="-85"/>
              <w:jc w:val="center"/>
              <w:rPr>
                <w:sz w:val="16"/>
                <w:szCs w:val="16"/>
              </w:rPr>
            </w:pPr>
            <w:r w:rsidRPr="00CB303D">
              <w:rPr>
                <w:sz w:val="16"/>
                <w:szCs w:val="16"/>
              </w:rPr>
              <w:br/>
              <w:t>Kostenstelle</w:t>
            </w:r>
          </w:p>
        </w:tc>
        <w:tc>
          <w:tcPr>
            <w:tcW w:w="1701" w:type="dxa"/>
            <w:shd w:val="pct12" w:color="auto" w:fill="FFFFFF"/>
            <w:vAlign w:val="center"/>
          </w:tcPr>
          <w:p w:rsidR="005F5B3D" w:rsidRPr="00CB303D" w:rsidRDefault="005F5B3D" w:rsidP="005E19C6">
            <w:pPr>
              <w:spacing w:before="60" w:after="60" w:line="200" w:lineRule="exact"/>
              <w:ind w:left="-85" w:right="-85"/>
              <w:jc w:val="center"/>
              <w:rPr>
                <w:sz w:val="16"/>
                <w:szCs w:val="16"/>
              </w:rPr>
            </w:pPr>
            <w:r w:rsidRPr="00CB303D">
              <w:rPr>
                <w:sz w:val="16"/>
                <w:szCs w:val="16"/>
              </w:rPr>
              <w:t>Amt</w:t>
            </w:r>
          </w:p>
        </w:tc>
        <w:tc>
          <w:tcPr>
            <w:tcW w:w="794" w:type="dxa"/>
            <w:shd w:val="pct12" w:color="auto" w:fill="FFFFFF"/>
            <w:vAlign w:val="center"/>
          </w:tcPr>
          <w:p w:rsidR="00606F80" w:rsidRPr="00CB303D" w:rsidRDefault="00606F80" w:rsidP="00606F80">
            <w:pPr>
              <w:spacing w:before="60" w:after="60" w:line="200" w:lineRule="exact"/>
              <w:ind w:left="-85" w:right="-85"/>
              <w:jc w:val="center"/>
              <w:rPr>
                <w:sz w:val="16"/>
                <w:szCs w:val="16"/>
              </w:rPr>
            </w:pPr>
            <w:r w:rsidRPr="00CB303D">
              <w:rPr>
                <w:sz w:val="16"/>
                <w:szCs w:val="16"/>
              </w:rPr>
              <w:t>BesGr.</w:t>
            </w:r>
          </w:p>
          <w:p w:rsidR="00606F80" w:rsidRPr="00CB303D" w:rsidRDefault="00606F80" w:rsidP="00606F80">
            <w:pPr>
              <w:spacing w:before="60" w:after="60" w:line="200" w:lineRule="exact"/>
              <w:ind w:left="-85" w:right="-85"/>
              <w:jc w:val="center"/>
              <w:rPr>
                <w:sz w:val="16"/>
                <w:szCs w:val="16"/>
              </w:rPr>
            </w:pPr>
            <w:r w:rsidRPr="00CB303D">
              <w:rPr>
                <w:sz w:val="16"/>
                <w:szCs w:val="16"/>
              </w:rPr>
              <w:t>oder</w:t>
            </w:r>
          </w:p>
          <w:p w:rsidR="00606F80" w:rsidRPr="00CB303D" w:rsidRDefault="00606F80" w:rsidP="00606F80">
            <w:pPr>
              <w:spacing w:before="60" w:after="60" w:line="200" w:lineRule="exact"/>
              <w:ind w:left="-85" w:right="-85"/>
              <w:jc w:val="center"/>
              <w:rPr>
                <w:sz w:val="16"/>
                <w:szCs w:val="16"/>
              </w:rPr>
            </w:pPr>
            <w:r w:rsidRPr="00CB303D">
              <w:rPr>
                <w:sz w:val="16"/>
                <w:szCs w:val="16"/>
              </w:rPr>
              <w:t>EG</w:t>
            </w:r>
          </w:p>
        </w:tc>
        <w:tc>
          <w:tcPr>
            <w:tcW w:w="1928" w:type="dxa"/>
            <w:shd w:val="pct12" w:color="auto" w:fill="FFFFFF"/>
            <w:vAlign w:val="center"/>
          </w:tcPr>
          <w:p w:rsidR="005F5B3D" w:rsidRPr="00CB303D" w:rsidRDefault="005F5B3D" w:rsidP="005E19C6">
            <w:pPr>
              <w:spacing w:before="60" w:after="60" w:line="200" w:lineRule="exact"/>
              <w:ind w:left="-85" w:right="-85"/>
              <w:jc w:val="center"/>
              <w:rPr>
                <w:sz w:val="16"/>
                <w:szCs w:val="16"/>
              </w:rPr>
            </w:pPr>
            <w:r w:rsidRPr="00CB303D">
              <w:rPr>
                <w:sz w:val="16"/>
                <w:szCs w:val="16"/>
              </w:rPr>
              <w:t>Funktionsbezeichnung</w:t>
            </w:r>
          </w:p>
        </w:tc>
        <w:tc>
          <w:tcPr>
            <w:tcW w:w="737" w:type="dxa"/>
            <w:shd w:val="pct12" w:color="auto" w:fill="FFFFFF"/>
            <w:vAlign w:val="center"/>
          </w:tcPr>
          <w:p w:rsidR="005F5B3D" w:rsidRPr="00CB303D" w:rsidRDefault="005F5B3D" w:rsidP="005E19C6">
            <w:pPr>
              <w:spacing w:before="60" w:after="60" w:line="200" w:lineRule="exact"/>
              <w:ind w:left="-85" w:right="-85"/>
              <w:jc w:val="center"/>
              <w:rPr>
                <w:sz w:val="16"/>
                <w:szCs w:val="16"/>
              </w:rPr>
            </w:pPr>
            <w:r w:rsidRPr="00CB303D">
              <w:rPr>
                <w:sz w:val="16"/>
                <w:szCs w:val="16"/>
              </w:rPr>
              <w:t>Anzahl</w:t>
            </w:r>
            <w:r w:rsidRPr="00CB303D">
              <w:rPr>
                <w:sz w:val="16"/>
                <w:szCs w:val="16"/>
              </w:rPr>
              <w:br/>
              <w:t>der</w:t>
            </w:r>
            <w:r w:rsidRPr="00CB303D">
              <w:rPr>
                <w:sz w:val="16"/>
                <w:szCs w:val="16"/>
              </w:rPr>
              <w:br/>
              <w:t>Stellen</w:t>
            </w:r>
          </w:p>
        </w:tc>
        <w:tc>
          <w:tcPr>
            <w:tcW w:w="1134" w:type="dxa"/>
            <w:shd w:val="pct12" w:color="auto" w:fill="FFFFFF"/>
            <w:vAlign w:val="center"/>
          </w:tcPr>
          <w:p w:rsidR="005F5B3D" w:rsidRPr="00CB303D" w:rsidRDefault="005F5B3D" w:rsidP="005E19C6">
            <w:pPr>
              <w:spacing w:before="60" w:after="60" w:line="200" w:lineRule="exact"/>
              <w:ind w:left="-85" w:right="-85"/>
              <w:jc w:val="center"/>
              <w:rPr>
                <w:sz w:val="16"/>
                <w:szCs w:val="16"/>
              </w:rPr>
            </w:pPr>
            <w:r w:rsidRPr="00CB303D">
              <w:rPr>
                <w:sz w:val="16"/>
                <w:szCs w:val="16"/>
              </w:rPr>
              <w:t>Stellen-</w:t>
            </w:r>
            <w:r w:rsidRPr="00CB303D">
              <w:rPr>
                <w:sz w:val="16"/>
                <w:szCs w:val="16"/>
              </w:rPr>
              <w:br/>
              <w:t>vermerk</w:t>
            </w:r>
          </w:p>
        </w:tc>
        <w:tc>
          <w:tcPr>
            <w:tcW w:w="1417" w:type="dxa"/>
            <w:shd w:val="pct12" w:color="auto" w:fill="FFFFFF"/>
            <w:vAlign w:val="center"/>
          </w:tcPr>
          <w:p w:rsidR="005F5B3D" w:rsidRPr="00CB303D" w:rsidRDefault="005F5B3D" w:rsidP="005E19C6">
            <w:pPr>
              <w:spacing w:before="60" w:after="60" w:line="200" w:lineRule="exact"/>
              <w:ind w:left="-85" w:right="-85"/>
              <w:jc w:val="center"/>
              <w:rPr>
                <w:sz w:val="16"/>
                <w:szCs w:val="16"/>
              </w:rPr>
            </w:pPr>
            <w:r w:rsidRPr="00CB303D">
              <w:rPr>
                <w:sz w:val="16"/>
                <w:szCs w:val="16"/>
              </w:rPr>
              <w:t>durchschnittl.</w:t>
            </w:r>
            <w:r w:rsidRPr="00CB303D">
              <w:rPr>
                <w:sz w:val="16"/>
                <w:szCs w:val="16"/>
              </w:rPr>
              <w:br/>
              <w:t>jährl. kosten-</w:t>
            </w:r>
            <w:r w:rsidRPr="00CB303D">
              <w:rPr>
                <w:sz w:val="16"/>
                <w:szCs w:val="16"/>
              </w:rPr>
              <w:br/>
              <w:t>wirksamer</w:t>
            </w:r>
            <w:r w:rsidRPr="00CB303D">
              <w:rPr>
                <w:sz w:val="16"/>
                <w:szCs w:val="16"/>
              </w:rPr>
              <w:br/>
              <w:t>Aufwand</w:t>
            </w:r>
            <w:r w:rsidRPr="00CB303D">
              <w:rPr>
                <w:sz w:val="16"/>
                <w:szCs w:val="16"/>
              </w:rPr>
              <w:br/>
              <w:t>Euro</w:t>
            </w:r>
          </w:p>
        </w:tc>
      </w:tr>
      <w:tr w:rsidR="00CB303D" w:rsidRPr="00CB303D" w:rsidTr="005F5B3D">
        <w:tc>
          <w:tcPr>
            <w:tcW w:w="1814" w:type="dxa"/>
          </w:tcPr>
          <w:p w:rsidR="005F5B3D" w:rsidRPr="00CB303D" w:rsidRDefault="005F5B3D" w:rsidP="006E0575">
            <w:pPr>
              <w:rPr>
                <w:sz w:val="20"/>
              </w:rPr>
            </w:pPr>
          </w:p>
          <w:p w:rsidR="003C5F34" w:rsidRPr="00CB303D" w:rsidRDefault="00B47829" w:rsidP="00A22350">
            <w:pPr>
              <w:rPr>
                <w:sz w:val="20"/>
              </w:rPr>
            </w:pPr>
            <w:r w:rsidRPr="00CB303D">
              <w:rPr>
                <w:sz w:val="20"/>
              </w:rPr>
              <w:t>32-21</w:t>
            </w:r>
          </w:p>
          <w:p w:rsidR="003C5F34" w:rsidRPr="00CB303D" w:rsidRDefault="003C5F34" w:rsidP="00A22350">
            <w:pPr>
              <w:rPr>
                <w:sz w:val="20"/>
              </w:rPr>
            </w:pPr>
            <w:r w:rsidRPr="00CB303D">
              <w:rPr>
                <w:sz w:val="20"/>
              </w:rPr>
              <w:t>3221</w:t>
            </w:r>
            <w:r w:rsidR="00142950" w:rsidRPr="00CB303D">
              <w:rPr>
                <w:sz w:val="20"/>
              </w:rPr>
              <w:t xml:space="preserve"> </w:t>
            </w:r>
            <w:r w:rsidRPr="00CB303D">
              <w:rPr>
                <w:sz w:val="20"/>
              </w:rPr>
              <w:t>5212</w:t>
            </w:r>
          </w:p>
          <w:p w:rsidR="00514D17" w:rsidRPr="00CB303D" w:rsidRDefault="00514D17" w:rsidP="00A22350">
            <w:pPr>
              <w:rPr>
                <w:sz w:val="20"/>
              </w:rPr>
            </w:pPr>
          </w:p>
          <w:p w:rsidR="00514D17" w:rsidRPr="00CB303D" w:rsidRDefault="00514D17" w:rsidP="00A22350">
            <w:pPr>
              <w:rPr>
                <w:sz w:val="20"/>
              </w:rPr>
            </w:pPr>
          </w:p>
          <w:p w:rsidR="00514D17" w:rsidRPr="00CB303D" w:rsidRDefault="00514D17" w:rsidP="00514D17">
            <w:pPr>
              <w:rPr>
                <w:sz w:val="20"/>
              </w:rPr>
            </w:pPr>
            <w:r w:rsidRPr="00CB303D">
              <w:rPr>
                <w:sz w:val="20"/>
              </w:rPr>
              <w:t>32-21</w:t>
            </w:r>
          </w:p>
          <w:p w:rsidR="00514D17" w:rsidRPr="00CB303D" w:rsidRDefault="00514D17" w:rsidP="00A22350">
            <w:pPr>
              <w:rPr>
                <w:sz w:val="20"/>
              </w:rPr>
            </w:pPr>
            <w:r w:rsidRPr="00CB303D">
              <w:rPr>
                <w:sz w:val="20"/>
              </w:rPr>
              <w:t>3221</w:t>
            </w:r>
            <w:r w:rsidR="00142950" w:rsidRPr="00CB303D">
              <w:rPr>
                <w:sz w:val="20"/>
              </w:rPr>
              <w:t xml:space="preserve"> </w:t>
            </w:r>
            <w:r w:rsidRPr="00CB303D">
              <w:rPr>
                <w:sz w:val="20"/>
              </w:rPr>
              <w:t>5212</w:t>
            </w:r>
          </w:p>
          <w:p w:rsidR="00435442" w:rsidRPr="00CB303D" w:rsidRDefault="00435442" w:rsidP="00A22350">
            <w:pPr>
              <w:rPr>
                <w:sz w:val="20"/>
              </w:rPr>
            </w:pPr>
          </w:p>
        </w:tc>
        <w:tc>
          <w:tcPr>
            <w:tcW w:w="1701" w:type="dxa"/>
          </w:tcPr>
          <w:p w:rsidR="005F5B3D" w:rsidRPr="00CB303D" w:rsidRDefault="005F5B3D" w:rsidP="006E0575">
            <w:pPr>
              <w:rPr>
                <w:sz w:val="20"/>
              </w:rPr>
            </w:pPr>
          </w:p>
          <w:p w:rsidR="005F5B3D" w:rsidRPr="00CB303D" w:rsidRDefault="002C71FA" w:rsidP="002C71FA">
            <w:pPr>
              <w:rPr>
                <w:sz w:val="20"/>
              </w:rPr>
            </w:pPr>
            <w:r w:rsidRPr="00CB303D">
              <w:rPr>
                <w:sz w:val="20"/>
              </w:rPr>
              <w:t xml:space="preserve">Amt für </w:t>
            </w:r>
            <w:r w:rsidR="00F72267" w:rsidRPr="00CB303D">
              <w:rPr>
                <w:sz w:val="20"/>
              </w:rPr>
              <w:br/>
            </w:r>
            <w:r w:rsidRPr="00CB303D">
              <w:rPr>
                <w:sz w:val="20"/>
              </w:rPr>
              <w:t xml:space="preserve">öffentliche </w:t>
            </w:r>
            <w:r w:rsidR="00F72267" w:rsidRPr="00CB303D">
              <w:rPr>
                <w:sz w:val="20"/>
              </w:rPr>
              <w:br/>
            </w:r>
            <w:r w:rsidRPr="00CB303D">
              <w:rPr>
                <w:sz w:val="20"/>
              </w:rPr>
              <w:t>Ordnung</w:t>
            </w:r>
          </w:p>
        </w:tc>
        <w:tc>
          <w:tcPr>
            <w:tcW w:w="794" w:type="dxa"/>
          </w:tcPr>
          <w:p w:rsidR="00B2097D" w:rsidRPr="00CB303D" w:rsidRDefault="00B2097D" w:rsidP="001F7237">
            <w:pPr>
              <w:jc w:val="center"/>
              <w:rPr>
                <w:sz w:val="20"/>
              </w:rPr>
            </w:pPr>
          </w:p>
          <w:p w:rsidR="00A22350" w:rsidRPr="00CB303D" w:rsidRDefault="00245586" w:rsidP="002C71FA">
            <w:pPr>
              <w:jc w:val="center"/>
              <w:rPr>
                <w:sz w:val="20"/>
              </w:rPr>
            </w:pPr>
            <w:r w:rsidRPr="00CB303D">
              <w:rPr>
                <w:sz w:val="20"/>
              </w:rPr>
              <w:t>EG 9a</w:t>
            </w:r>
          </w:p>
          <w:p w:rsidR="00BF733E" w:rsidRPr="00CB303D" w:rsidRDefault="00BF733E" w:rsidP="002C71FA">
            <w:pPr>
              <w:jc w:val="center"/>
              <w:rPr>
                <w:sz w:val="20"/>
              </w:rPr>
            </w:pPr>
          </w:p>
          <w:p w:rsidR="00B4474A" w:rsidRPr="00CB303D" w:rsidRDefault="00B4474A" w:rsidP="002C71FA">
            <w:pPr>
              <w:jc w:val="center"/>
              <w:rPr>
                <w:sz w:val="20"/>
              </w:rPr>
            </w:pPr>
          </w:p>
          <w:p w:rsidR="00B4474A" w:rsidRPr="00CB303D" w:rsidRDefault="00B4474A" w:rsidP="002C71FA">
            <w:pPr>
              <w:jc w:val="center"/>
              <w:rPr>
                <w:sz w:val="20"/>
              </w:rPr>
            </w:pPr>
          </w:p>
          <w:p w:rsidR="00BF733E" w:rsidRPr="00CB303D" w:rsidRDefault="00717BF3" w:rsidP="002C71FA">
            <w:pPr>
              <w:jc w:val="center"/>
              <w:rPr>
                <w:sz w:val="20"/>
              </w:rPr>
            </w:pPr>
            <w:r w:rsidRPr="00CB303D">
              <w:rPr>
                <w:sz w:val="20"/>
              </w:rPr>
              <w:t>A</w:t>
            </w:r>
            <w:r w:rsidR="00CB303D" w:rsidRPr="00CB303D">
              <w:rPr>
                <w:sz w:val="20"/>
              </w:rPr>
              <w:t xml:space="preserve"> </w:t>
            </w:r>
            <w:r w:rsidRPr="00CB303D">
              <w:rPr>
                <w:sz w:val="20"/>
              </w:rPr>
              <w:t>10</w:t>
            </w:r>
          </w:p>
          <w:p w:rsidR="00A22350" w:rsidRPr="00CB303D" w:rsidRDefault="00A22350" w:rsidP="002C71FA">
            <w:pPr>
              <w:jc w:val="center"/>
              <w:rPr>
                <w:sz w:val="20"/>
              </w:rPr>
            </w:pPr>
          </w:p>
        </w:tc>
        <w:tc>
          <w:tcPr>
            <w:tcW w:w="1928" w:type="dxa"/>
          </w:tcPr>
          <w:p w:rsidR="005F5B3D" w:rsidRPr="00CB303D" w:rsidRDefault="005F5B3D" w:rsidP="006E0575">
            <w:pPr>
              <w:rPr>
                <w:sz w:val="20"/>
              </w:rPr>
            </w:pPr>
          </w:p>
          <w:p w:rsidR="00B4474A" w:rsidRPr="00CB303D" w:rsidRDefault="00B4474A" w:rsidP="006E0575">
            <w:pPr>
              <w:rPr>
                <w:sz w:val="20"/>
              </w:rPr>
            </w:pPr>
            <w:r w:rsidRPr="00CB303D">
              <w:rPr>
                <w:sz w:val="20"/>
              </w:rPr>
              <w:t>Beschäftigte</w:t>
            </w:r>
            <w:r w:rsidR="002458E4" w:rsidRPr="00CB303D">
              <w:rPr>
                <w:sz w:val="20"/>
              </w:rPr>
              <w:t>/-r</w:t>
            </w:r>
            <w:r w:rsidRPr="00CB303D">
              <w:rPr>
                <w:sz w:val="20"/>
              </w:rPr>
              <w:t xml:space="preserve"> im Städtischen </w:t>
            </w:r>
          </w:p>
          <w:p w:rsidR="005F5B3D" w:rsidRPr="00CB303D" w:rsidRDefault="00B4474A" w:rsidP="006E0575">
            <w:pPr>
              <w:rPr>
                <w:sz w:val="20"/>
              </w:rPr>
            </w:pPr>
            <w:r w:rsidRPr="00CB303D">
              <w:rPr>
                <w:sz w:val="20"/>
              </w:rPr>
              <w:t>Vollzugsdienst</w:t>
            </w:r>
          </w:p>
          <w:p w:rsidR="00B4474A" w:rsidRPr="00CB303D" w:rsidRDefault="00B4474A" w:rsidP="006E0575">
            <w:pPr>
              <w:rPr>
                <w:sz w:val="20"/>
              </w:rPr>
            </w:pPr>
          </w:p>
          <w:p w:rsidR="00B4474A" w:rsidRPr="00CB303D" w:rsidRDefault="003C5F34" w:rsidP="006E0575">
            <w:pPr>
              <w:rPr>
                <w:sz w:val="20"/>
              </w:rPr>
            </w:pPr>
            <w:r w:rsidRPr="00CB303D">
              <w:rPr>
                <w:sz w:val="20"/>
              </w:rPr>
              <w:t>Sachbearbeit</w:t>
            </w:r>
            <w:r w:rsidR="002458E4" w:rsidRPr="00CB303D">
              <w:rPr>
                <w:sz w:val="20"/>
              </w:rPr>
              <w:t>er/-in</w:t>
            </w:r>
          </w:p>
          <w:p w:rsidR="00435442" w:rsidRPr="00CB303D" w:rsidRDefault="00435442" w:rsidP="006E0575">
            <w:pPr>
              <w:rPr>
                <w:b/>
                <w:sz w:val="20"/>
              </w:rPr>
            </w:pPr>
          </w:p>
        </w:tc>
        <w:tc>
          <w:tcPr>
            <w:tcW w:w="737" w:type="dxa"/>
            <w:shd w:val="pct12" w:color="auto" w:fill="FFFFFF"/>
          </w:tcPr>
          <w:p w:rsidR="005F5B3D" w:rsidRPr="00CB303D" w:rsidRDefault="005F5B3D" w:rsidP="001F7237">
            <w:pPr>
              <w:jc w:val="center"/>
              <w:rPr>
                <w:sz w:val="20"/>
              </w:rPr>
            </w:pPr>
          </w:p>
          <w:p w:rsidR="005F5B3D" w:rsidRPr="00CB303D" w:rsidRDefault="008F2EA5" w:rsidP="001F7237">
            <w:pPr>
              <w:jc w:val="center"/>
              <w:rPr>
                <w:sz w:val="20"/>
              </w:rPr>
            </w:pPr>
            <w:r w:rsidRPr="00CB303D">
              <w:rPr>
                <w:sz w:val="20"/>
              </w:rPr>
              <w:t>29</w:t>
            </w:r>
            <w:r w:rsidR="00717BF3" w:rsidRPr="00CB303D">
              <w:rPr>
                <w:sz w:val="20"/>
              </w:rPr>
              <w:t>,0</w:t>
            </w:r>
            <w:r w:rsidR="00887216" w:rsidRPr="00CB303D">
              <w:rPr>
                <w:sz w:val="20"/>
              </w:rPr>
              <w:t>0</w:t>
            </w:r>
          </w:p>
          <w:p w:rsidR="00B4474A" w:rsidRPr="00CB303D" w:rsidRDefault="00B4474A" w:rsidP="001F7237">
            <w:pPr>
              <w:jc w:val="center"/>
              <w:rPr>
                <w:sz w:val="20"/>
              </w:rPr>
            </w:pPr>
          </w:p>
          <w:p w:rsidR="00B4474A" w:rsidRPr="00CB303D" w:rsidRDefault="00B4474A" w:rsidP="001F7237">
            <w:pPr>
              <w:jc w:val="center"/>
              <w:rPr>
                <w:sz w:val="20"/>
              </w:rPr>
            </w:pPr>
          </w:p>
          <w:p w:rsidR="00BF733E" w:rsidRPr="00CB303D" w:rsidRDefault="00BF733E" w:rsidP="001F7237">
            <w:pPr>
              <w:jc w:val="center"/>
              <w:rPr>
                <w:sz w:val="20"/>
              </w:rPr>
            </w:pPr>
          </w:p>
          <w:p w:rsidR="00BF733E" w:rsidRPr="00CB303D" w:rsidRDefault="00BF733E" w:rsidP="001F7237">
            <w:pPr>
              <w:jc w:val="center"/>
              <w:rPr>
                <w:sz w:val="20"/>
              </w:rPr>
            </w:pPr>
            <w:r w:rsidRPr="00CB303D">
              <w:rPr>
                <w:sz w:val="20"/>
              </w:rPr>
              <w:t>1</w:t>
            </w:r>
            <w:r w:rsidR="00717BF3" w:rsidRPr="00CB303D">
              <w:rPr>
                <w:sz w:val="20"/>
              </w:rPr>
              <w:t>,0</w:t>
            </w:r>
            <w:r w:rsidR="00887216" w:rsidRPr="00CB303D">
              <w:rPr>
                <w:sz w:val="20"/>
              </w:rPr>
              <w:t>0</w:t>
            </w:r>
          </w:p>
          <w:p w:rsidR="00435442" w:rsidRPr="00CB303D" w:rsidRDefault="00435442" w:rsidP="001F7237">
            <w:pPr>
              <w:jc w:val="center"/>
              <w:rPr>
                <w:b/>
                <w:sz w:val="20"/>
              </w:rPr>
            </w:pPr>
          </w:p>
        </w:tc>
        <w:tc>
          <w:tcPr>
            <w:tcW w:w="1134" w:type="dxa"/>
          </w:tcPr>
          <w:p w:rsidR="005F5B3D" w:rsidRPr="00CB303D" w:rsidRDefault="005F5B3D" w:rsidP="001F7237">
            <w:pPr>
              <w:jc w:val="center"/>
              <w:rPr>
                <w:sz w:val="20"/>
              </w:rPr>
            </w:pPr>
          </w:p>
          <w:p w:rsidR="005F5B3D" w:rsidRPr="00CB303D" w:rsidRDefault="00F72267" w:rsidP="001F7237">
            <w:pPr>
              <w:jc w:val="center"/>
              <w:rPr>
                <w:sz w:val="20"/>
              </w:rPr>
            </w:pPr>
            <w:r w:rsidRPr="00CB303D">
              <w:rPr>
                <w:sz w:val="20"/>
              </w:rPr>
              <w:t>--</w:t>
            </w:r>
            <w:r w:rsidR="003C5F34" w:rsidRPr="00CB303D">
              <w:rPr>
                <w:sz w:val="20"/>
              </w:rPr>
              <w:t>-</w:t>
            </w:r>
          </w:p>
          <w:p w:rsidR="003C5F34" w:rsidRPr="00CB303D" w:rsidRDefault="003C5F34" w:rsidP="001F7237">
            <w:pPr>
              <w:jc w:val="center"/>
              <w:rPr>
                <w:sz w:val="20"/>
              </w:rPr>
            </w:pPr>
          </w:p>
          <w:p w:rsidR="003C5F34" w:rsidRPr="00CB303D" w:rsidRDefault="003C5F34" w:rsidP="001F7237">
            <w:pPr>
              <w:jc w:val="center"/>
              <w:rPr>
                <w:sz w:val="20"/>
              </w:rPr>
            </w:pPr>
          </w:p>
          <w:p w:rsidR="003C5F34" w:rsidRPr="00CB303D" w:rsidRDefault="003C5F34" w:rsidP="001F7237">
            <w:pPr>
              <w:jc w:val="center"/>
              <w:rPr>
                <w:sz w:val="20"/>
              </w:rPr>
            </w:pPr>
          </w:p>
          <w:p w:rsidR="003C5F34" w:rsidRPr="00CB303D" w:rsidRDefault="003C5F34" w:rsidP="001F7237">
            <w:pPr>
              <w:jc w:val="center"/>
              <w:rPr>
                <w:sz w:val="20"/>
              </w:rPr>
            </w:pPr>
            <w:r w:rsidRPr="00CB303D">
              <w:rPr>
                <w:sz w:val="20"/>
              </w:rPr>
              <w:t>---</w:t>
            </w:r>
          </w:p>
        </w:tc>
        <w:tc>
          <w:tcPr>
            <w:tcW w:w="1417" w:type="dxa"/>
          </w:tcPr>
          <w:p w:rsidR="005F5B3D" w:rsidRPr="00CB303D" w:rsidRDefault="005F5B3D" w:rsidP="001F7237">
            <w:pPr>
              <w:jc w:val="center"/>
              <w:rPr>
                <w:sz w:val="20"/>
              </w:rPr>
            </w:pPr>
          </w:p>
          <w:p w:rsidR="00710409" w:rsidRDefault="00AE69B7" w:rsidP="00710409">
            <w:pPr>
              <w:jc w:val="center"/>
              <w:rPr>
                <w:sz w:val="20"/>
              </w:rPr>
            </w:pPr>
            <w:r>
              <w:rPr>
                <w:sz w:val="20"/>
              </w:rPr>
              <w:t>1.824.100</w:t>
            </w:r>
          </w:p>
          <w:p w:rsidR="00AE69B7" w:rsidRDefault="00AE69B7" w:rsidP="00710409">
            <w:pPr>
              <w:jc w:val="center"/>
              <w:rPr>
                <w:sz w:val="20"/>
              </w:rPr>
            </w:pPr>
          </w:p>
          <w:p w:rsidR="00AE69B7" w:rsidRDefault="00AE69B7" w:rsidP="00710409">
            <w:pPr>
              <w:jc w:val="center"/>
              <w:rPr>
                <w:sz w:val="20"/>
              </w:rPr>
            </w:pPr>
          </w:p>
          <w:p w:rsidR="00717BF3" w:rsidRPr="00CB303D" w:rsidRDefault="00717BF3" w:rsidP="00710409">
            <w:pPr>
              <w:jc w:val="center"/>
              <w:rPr>
                <w:sz w:val="20"/>
              </w:rPr>
            </w:pPr>
          </w:p>
          <w:p w:rsidR="00717BF3" w:rsidRPr="00CB303D" w:rsidRDefault="00AE69B7" w:rsidP="00710409">
            <w:pPr>
              <w:jc w:val="center"/>
              <w:rPr>
                <w:sz w:val="20"/>
              </w:rPr>
            </w:pPr>
            <w:r>
              <w:rPr>
                <w:sz w:val="20"/>
              </w:rPr>
              <w:t>89.000</w:t>
            </w:r>
          </w:p>
          <w:p w:rsidR="00717BF3" w:rsidRPr="00CB303D" w:rsidRDefault="00717BF3" w:rsidP="00717BF3">
            <w:pPr>
              <w:rPr>
                <w:sz w:val="20"/>
              </w:rPr>
            </w:pPr>
          </w:p>
        </w:tc>
      </w:tr>
      <w:tr w:rsidR="00CB303D" w:rsidRPr="00CB303D" w:rsidTr="005F5B3D">
        <w:tc>
          <w:tcPr>
            <w:tcW w:w="1814" w:type="dxa"/>
          </w:tcPr>
          <w:p w:rsidR="00CB303D" w:rsidRPr="00CB303D" w:rsidRDefault="00CB303D" w:rsidP="006E0575">
            <w:pPr>
              <w:rPr>
                <w:sz w:val="20"/>
              </w:rPr>
            </w:pPr>
          </w:p>
        </w:tc>
        <w:tc>
          <w:tcPr>
            <w:tcW w:w="1701" w:type="dxa"/>
          </w:tcPr>
          <w:p w:rsidR="00CB303D" w:rsidRPr="00CB303D" w:rsidRDefault="00CB303D" w:rsidP="006E0575">
            <w:pPr>
              <w:rPr>
                <w:sz w:val="20"/>
              </w:rPr>
            </w:pPr>
          </w:p>
        </w:tc>
        <w:tc>
          <w:tcPr>
            <w:tcW w:w="794" w:type="dxa"/>
          </w:tcPr>
          <w:p w:rsidR="00CB303D" w:rsidRPr="00CB303D" w:rsidRDefault="00CB303D" w:rsidP="001F7237">
            <w:pPr>
              <w:jc w:val="center"/>
              <w:rPr>
                <w:sz w:val="20"/>
              </w:rPr>
            </w:pPr>
          </w:p>
        </w:tc>
        <w:tc>
          <w:tcPr>
            <w:tcW w:w="1928" w:type="dxa"/>
          </w:tcPr>
          <w:p w:rsidR="00CB303D" w:rsidRPr="00CB303D" w:rsidRDefault="00CB303D" w:rsidP="006E0575">
            <w:pPr>
              <w:rPr>
                <w:sz w:val="20"/>
              </w:rPr>
            </w:pPr>
            <w:r w:rsidRPr="00CB303D">
              <w:rPr>
                <w:b/>
                <w:sz w:val="20"/>
              </w:rPr>
              <w:t>Summe</w:t>
            </w:r>
          </w:p>
        </w:tc>
        <w:tc>
          <w:tcPr>
            <w:tcW w:w="737" w:type="dxa"/>
            <w:shd w:val="pct12" w:color="auto" w:fill="FFFFFF"/>
          </w:tcPr>
          <w:p w:rsidR="00CB303D" w:rsidRPr="00CB303D" w:rsidRDefault="00CB303D" w:rsidP="001F7237">
            <w:pPr>
              <w:jc w:val="center"/>
              <w:rPr>
                <w:sz w:val="20"/>
              </w:rPr>
            </w:pPr>
            <w:r w:rsidRPr="00CB303D">
              <w:rPr>
                <w:b/>
                <w:sz w:val="20"/>
              </w:rPr>
              <w:t>30,00</w:t>
            </w:r>
          </w:p>
        </w:tc>
        <w:tc>
          <w:tcPr>
            <w:tcW w:w="1134" w:type="dxa"/>
          </w:tcPr>
          <w:p w:rsidR="00CB303D" w:rsidRPr="00CB303D" w:rsidRDefault="00CB303D" w:rsidP="001F7237">
            <w:pPr>
              <w:jc w:val="center"/>
              <w:rPr>
                <w:sz w:val="20"/>
              </w:rPr>
            </w:pPr>
          </w:p>
        </w:tc>
        <w:tc>
          <w:tcPr>
            <w:tcW w:w="1417" w:type="dxa"/>
          </w:tcPr>
          <w:p w:rsidR="00CB303D" w:rsidRPr="00CB303D" w:rsidRDefault="00CB303D" w:rsidP="001F7237">
            <w:pPr>
              <w:jc w:val="center"/>
              <w:rPr>
                <w:sz w:val="20"/>
              </w:rPr>
            </w:pPr>
          </w:p>
        </w:tc>
      </w:tr>
    </w:tbl>
    <w:p w:rsidR="003D7B0B" w:rsidRPr="00CB303D" w:rsidRDefault="006E0575" w:rsidP="00884D6C">
      <w:pPr>
        <w:pStyle w:val="berschrift1"/>
      </w:pPr>
      <w:r w:rsidRPr="00CB303D">
        <w:t>1</w:t>
      </w:r>
      <w:r w:rsidR="00705CF3" w:rsidRPr="00CB303D">
        <w:t>.</w:t>
      </w:r>
      <w:r w:rsidR="00884D6C" w:rsidRPr="00CB303D">
        <w:tab/>
      </w:r>
      <w:r w:rsidR="003D7B0B" w:rsidRPr="00CB303D">
        <w:t>Antra</w:t>
      </w:r>
      <w:r w:rsidR="003D7B0B" w:rsidRPr="00CB303D">
        <w:rPr>
          <w:u w:val="none"/>
        </w:rPr>
        <w:t>g</w:t>
      </w:r>
      <w:r w:rsidR="003D7B0B" w:rsidRPr="00CB303D">
        <w:t>, Stellenausstattun</w:t>
      </w:r>
      <w:r w:rsidR="003D7B0B" w:rsidRPr="00CB303D">
        <w:rPr>
          <w:u w:val="none"/>
        </w:rPr>
        <w:t>g</w:t>
      </w:r>
    </w:p>
    <w:p w:rsidR="003D7B0B" w:rsidRPr="00CB303D" w:rsidRDefault="003D7B0B" w:rsidP="00884D6C"/>
    <w:p w:rsidR="00BF733E" w:rsidRPr="00CB303D" w:rsidRDefault="00D046A9" w:rsidP="00E747DD">
      <w:r w:rsidRPr="00CB303D">
        <w:t>Geschaffen werden</w:t>
      </w:r>
      <w:r w:rsidR="009C2DFE" w:rsidRPr="00CB303D">
        <w:t xml:space="preserve"> 29</w:t>
      </w:r>
      <w:r w:rsidR="0036227D" w:rsidRPr="00CB303D">
        <w:t>,0</w:t>
      </w:r>
      <w:r w:rsidR="00E14937" w:rsidRPr="00CB303D">
        <w:t xml:space="preserve"> Stellen in der Entgeltgruppe </w:t>
      </w:r>
      <w:r w:rsidR="009C2DFE" w:rsidRPr="00CB303D">
        <w:t>9a</w:t>
      </w:r>
      <w:r w:rsidRPr="00CB303D">
        <w:t xml:space="preserve"> </w:t>
      </w:r>
      <w:r w:rsidR="00E14937" w:rsidRPr="00CB303D">
        <w:t xml:space="preserve">TVöD </w:t>
      </w:r>
      <w:r w:rsidRPr="00CB303D">
        <w:t xml:space="preserve">sowie </w:t>
      </w:r>
      <w:r w:rsidR="00CB303D" w:rsidRPr="00CB303D">
        <w:t>1,0</w:t>
      </w:r>
      <w:r w:rsidRPr="00CB303D">
        <w:t xml:space="preserve"> Stelle in der Besoldungsgruppe A 10 </w:t>
      </w:r>
      <w:r w:rsidR="009C2DFE" w:rsidRPr="00CB303D">
        <w:t xml:space="preserve">für den </w:t>
      </w:r>
      <w:r w:rsidR="00DF00A3" w:rsidRPr="00CB303D">
        <w:t>Städtischen Vollzugsdienst</w:t>
      </w:r>
      <w:r w:rsidRPr="00CB303D">
        <w:t>.</w:t>
      </w:r>
    </w:p>
    <w:p w:rsidR="003D7B0B" w:rsidRPr="00CB303D" w:rsidRDefault="003D7B0B" w:rsidP="00E747DD">
      <w:pPr>
        <w:pStyle w:val="berschrift1"/>
      </w:pPr>
      <w:r w:rsidRPr="00CB303D">
        <w:t>2</w:t>
      </w:r>
      <w:r w:rsidR="00705CF3" w:rsidRPr="00CB303D">
        <w:t>.</w:t>
      </w:r>
      <w:r w:rsidRPr="00CB303D">
        <w:tab/>
        <w:t>Schaffun</w:t>
      </w:r>
      <w:r w:rsidRPr="00CB303D">
        <w:rPr>
          <w:u w:val="none"/>
        </w:rPr>
        <w:t>g</w:t>
      </w:r>
      <w:r w:rsidRPr="00CB303D">
        <w:t>skriterien</w:t>
      </w:r>
    </w:p>
    <w:p w:rsidR="003D7B0B" w:rsidRPr="00CB303D" w:rsidRDefault="003D7B0B" w:rsidP="00884D6C"/>
    <w:p w:rsidR="00D046A9" w:rsidRPr="00CB303D" w:rsidRDefault="00D046A9" w:rsidP="00884D6C">
      <w:r w:rsidRPr="00CB303D">
        <w:rPr>
          <w:rFonts w:cs="Arial"/>
          <w:szCs w:val="24"/>
        </w:rPr>
        <w:t>Die Stellenschaffungen sind in der „Grünen Liste“ zum Haushalt 202</w:t>
      </w:r>
      <w:r w:rsidR="00647C23" w:rsidRPr="00CB303D">
        <w:rPr>
          <w:rFonts w:cs="Arial"/>
          <w:szCs w:val="24"/>
        </w:rPr>
        <w:t>2/2023</w:t>
      </w:r>
      <w:r w:rsidRPr="00CB303D">
        <w:rPr>
          <w:rFonts w:cs="Arial"/>
          <w:szCs w:val="24"/>
        </w:rPr>
        <w:t xml:space="preserve"> enthalten. Sie sind Teil des </w:t>
      </w:r>
      <w:r w:rsidR="00647C23" w:rsidRPr="00CB303D">
        <w:rPr>
          <w:rFonts w:cs="Arial"/>
          <w:szCs w:val="24"/>
        </w:rPr>
        <w:t>Maßnahmen</w:t>
      </w:r>
      <w:r w:rsidRPr="00CB303D">
        <w:rPr>
          <w:rFonts w:cs="Arial"/>
          <w:szCs w:val="24"/>
        </w:rPr>
        <w:t>pakets „</w:t>
      </w:r>
      <w:r w:rsidR="00647C23" w:rsidRPr="00CB303D">
        <w:rPr>
          <w:rFonts w:cs="Arial"/>
          <w:szCs w:val="24"/>
        </w:rPr>
        <w:t>Sicheres und sauberes</w:t>
      </w:r>
      <w:r w:rsidRPr="00CB303D">
        <w:rPr>
          <w:rFonts w:cs="Arial"/>
          <w:szCs w:val="24"/>
        </w:rPr>
        <w:t xml:space="preserve"> Stuttgart“</w:t>
      </w:r>
      <w:r w:rsidR="00647C23" w:rsidRPr="00CB303D">
        <w:rPr>
          <w:rFonts w:cs="Arial"/>
          <w:szCs w:val="24"/>
        </w:rPr>
        <w:t>.</w:t>
      </w:r>
    </w:p>
    <w:p w:rsidR="003D7B0B" w:rsidRPr="00CB303D" w:rsidRDefault="003D7B0B" w:rsidP="00884D6C">
      <w:pPr>
        <w:pStyle w:val="berschrift1"/>
      </w:pPr>
      <w:r w:rsidRPr="00CB303D">
        <w:t>3</w:t>
      </w:r>
      <w:r w:rsidR="00D60708" w:rsidRPr="00CB303D">
        <w:t>.</w:t>
      </w:r>
      <w:r w:rsidRPr="00CB303D">
        <w:tab/>
        <w:t>Bedarf</w:t>
      </w:r>
    </w:p>
    <w:p w:rsidR="003D7B0B" w:rsidRPr="00CB303D" w:rsidRDefault="00884D6C" w:rsidP="00884D6C">
      <w:pPr>
        <w:pStyle w:val="berschrift2"/>
      </w:pPr>
      <w:r w:rsidRPr="00CB303D">
        <w:t>3.1</w:t>
      </w:r>
      <w:r w:rsidRPr="00CB303D">
        <w:tab/>
      </w:r>
      <w:r w:rsidR="006E0575" w:rsidRPr="00CB303D">
        <w:t>Anlass</w:t>
      </w:r>
    </w:p>
    <w:p w:rsidR="00647C23" w:rsidRPr="00CB303D" w:rsidRDefault="00647C23" w:rsidP="00647C23"/>
    <w:p w:rsidR="00D046A9" w:rsidRPr="00CB303D" w:rsidRDefault="00494B2C" w:rsidP="00D046A9">
      <w:r w:rsidRPr="00CB303D">
        <w:t>Dem städtischen Vollzugsdienst obliegen insbesondere folgende polizeilichen Vollzugsaufgaben:</w:t>
      </w:r>
    </w:p>
    <w:p w:rsidR="00D046A9" w:rsidRPr="00CB303D" w:rsidRDefault="00D046A9" w:rsidP="00D046A9">
      <w:pPr>
        <w:pStyle w:val="Listenabsatz"/>
        <w:numPr>
          <w:ilvl w:val="0"/>
          <w:numId w:val="11"/>
        </w:numPr>
      </w:pPr>
      <w:r w:rsidRPr="00CB303D">
        <w:t xml:space="preserve">Überwachung der Straßen- und Anlagen-Polizeiverordnung und der Grünflächensatzung (Sicherheit und </w:t>
      </w:r>
      <w:r w:rsidR="00CD44A3" w:rsidRPr="00CB303D">
        <w:t xml:space="preserve">Sauberkeit im öffentl. </w:t>
      </w:r>
      <w:r w:rsidRPr="00CB303D">
        <w:t>Raum, Einschreiten bei Ordnungsstörungen</w:t>
      </w:r>
      <w:r w:rsidR="002458E4" w:rsidRPr="00CB303D">
        <w:t>,</w:t>
      </w:r>
      <w:r w:rsidRPr="00CB303D">
        <w:t xml:space="preserve"> z.</w:t>
      </w:r>
      <w:r w:rsidR="002458E4" w:rsidRPr="00CB303D">
        <w:t xml:space="preserve"> </w:t>
      </w:r>
      <w:r w:rsidRPr="00CB303D">
        <w:t>B. durch Alkohol- bzw. Drogenkonsum</w:t>
      </w:r>
      <w:r w:rsidR="00CD44A3" w:rsidRPr="00CB303D">
        <w:t xml:space="preserve"> auf öffentl.</w:t>
      </w:r>
      <w:r w:rsidRPr="00CB303D">
        <w:t xml:space="preserve"> Plätzen),</w:t>
      </w:r>
    </w:p>
    <w:p w:rsidR="00D046A9" w:rsidRPr="00CB303D" w:rsidRDefault="00D046A9" w:rsidP="00D046A9">
      <w:pPr>
        <w:pStyle w:val="Listenabsatz"/>
        <w:numPr>
          <w:ilvl w:val="0"/>
          <w:numId w:val="11"/>
        </w:numPr>
      </w:pPr>
      <w:r w:rsidRPr="00CB303D">
        <w:t xml:space="preserve">der Vollzug des Straßenrechts (unerlaubte Sondernutzungen, Straßenmusikanten, gewerbsmäßige Bettler), </w:t>
      </w:r>
    </w:p>
    <w:p w:rsidR="00D046A9" w:rsidRPr="00CB303D" w:rsidRDefault="00D046A9" w:rsidP="00D046A9">
      <w:pPr>
        <w:pStyle w:val="Listenabsatz"/>
        <w:numPr>
          <w:ilvl w:val="0"/>
          <w:numId w:val="11"/>
        </w:numPr>
      </w:pPr>
      <w:r w:rsidRPr="00CB303D">
        <w:t>die Überwachung und Vollzug der Straßenverkehrsordnung (z.</w:t>
      </w:r>
      <w:r w:rsidR="002458E4" w:rsidRPr="00CB303D">
        <w:t xml:space="preserve"> </w:t>
      </w:r>
      <w:r w:rsidRPr="00CB303D">
        <w:t>B. Überwachung von Durchfahrtsverboten, verkehrswidriges Parken in den Naherholungsgebieten, unerlaubtes Befahren von Fußgängerzonen mit Fahrrädern/E-Scootern),</w:t>
      </w:r>
    </w:p>
    <w:p w:rsidR="00D046A9" w:rsidRPr="00CB303D" w:rsidRDefault="00D046A9" w:rsidP="00D046A9">
      <w:pPr>
        <w:pStyle w:val="Listenabsatz"/>
        <w:numPr>
          <w:ilvl w:val="0"/>
          <w:numId w:val="11"/>
        </w:numPr>
      </w:pPr>
      <w:r w:rsidRPr="00CB303D">
        <w:t>Vollzug der Vorschriften über den Forst- und Feldschutz.</w:t>
      </w:r>
    </w:p>
    <w:p w:rsidR="00CD44A3" w:rsidRPr="00CB303D" w:rsidRDefault="00CD44A3" w:rsidP="00CD44A3">
      <w:pPr>
        <w:pStyle w:val="Listenabsatz"/>
      </w:pPr>
    </w:p>
    <w:p w:rsidR="00D046A9" w:rsidRPr="00CB303D" w:rsidRDefault="00DF00A3" w:rsidP="00D046A9">
      <w:r w:rsidRPr="00CB303D">
        <w:t>In den letzten Jahren</w:t>
      </w:r>
      <w:r w:rsidR="00494B2C" w:rsidRPr="00CB303D">
        <w:t xml:space="preserve"> haben sich durch Aufgabenzuwachs für den Städtischen Vollzugsdienst, der Forderung aus der Bevölkerung nach zusätzlicher intensiverer Präsenz so</w:t>
      </w:r>
      <w:r w:rsidR="00494B2C" w:rsidRPr="00CB303D">
        <w:lastRenderedPageBreak/>
        <w:t>wie der Bildung immer neuer Schwerpunkte die Anforderungen an die Schwerpunkteinsätze und die Streifendiensttätigkeit erheblich verändert. Dies führt dazu, dass Schwerpunkte nicht bzw. nicht in der für eine effektive Gefahrenabwehr erforderlichen Häufigkeit kontrolliert werden können.</w:t>
      </w:r>
      <w:r w:rsidR="00887216" w:rsidRPr="00CB303D">
        <w:t xml:space="preserve"> </w:t>
      </w:r>
      <w:r w:rsidR="00D046A9" w:rsidRPr="00CB303D">
        <w:t xml:space="preserve">Durch die Schaffung von 29 </w:t>
      </w:r>
      <w:r w:rsidR="00683F1D" w:rsidRPr="00CB303D">
        <w:t xml:space="preserve">zusätzlichen </w:t>
      </w:r>
      <w:r w:rsidR="00D046A9" w:rsidRPr="00CB303D">
        <w:t xml:space="preserve">Stellen </w:t>
      </w:r>
      <w:r w:rsidR="00CD44A3" w:rsidRPr="00CB303D">
        <w:t xml:space="preserve">(die </w:t>
      </w:r>
      <w:r w:rsidR="00683F1D" w:rsidRPr="00CB303D">
        <w:t xml:space="preserve">stufenweise </w:t>
      </w:r>
      <w:r w:rsidR="00CD44A3" w:rsidRPr="00CB303D">
        <w:t xml:space="preserve">besetzt werden sollen: </w:t>
      </w:r>
      <w:r w:rsidR="00683F1D" w:rsidRPr="00CB303D">
        <w:t xml:space="preserve">1. Stufe Aufstockung auf 80, 2. Stufe Aufstockung auf 90 und in der 3. Stufe Aufstockung auf 100 </w:t>
      </w:r>
      <w:r w:rsidR="00CD44A3" w:rsidRPr="00CB303D">
        <w:t>Mitarbeitende</w:t>
      </w:r>
      <w:r w:rsidR="00683F1D" w:rsidRPr="00CB303D">
        <w:t xml:space="preserve">) </w:t>
      </w:r>
      <w:r w:rsidR="00D046A9" w:rsidRPr="00CB303D">
        <w:t xml:space="preserve">wäre es dem Städtischen Vollzugsdienst möglich, im gesamten Stadtgebiet Stuttgart </w:t>
      </w:r>
      <w:r w:rsidR="00494B2C" w:rsidRPr="00CB303D">
        <w:t>verstärkte Kontrollen</w:t>
      </w:r>
      <w:r w:rsidR="00D046A9" w:rsidRPr="00CB303D">
        <w:t xml:space="preserve"> durchzuführen.</w:t>
      </w:r>
    </w:p>
    <w:p w:rsidR="00D046A9" w:rsidRPr="00CB303D" w:rsidRDefault="00D046A9" w:rsidP="00D046A9"/>
    <w:p w:rsidR="00494B2C" w:rsidRPr="00CB303D" w:rsidRDefault="00D046A9" w:rsidP="00D046A9">
      <w:r w:rsidRPr="00CB303D">
        <w:t>Mit der Schaffung weiterer Stellen beim Städtischen Vollzugsdienst steigt auch der Verwaltungsaufwand (bspw. Beschwerde- und Auskunfts-M</w:t>
      </w:r>
      <w:r w:rsidR="002458E4" w:rsidRPr="00CB303D">
        <w:t>anagement</w:t>
      </w:r>
      <w:r w:rsidRPr="00CB303D">
        <w:t>/Planung und Koordination der Aus- und Fortbildungskonzeptionen beim SVD/Kontrolle und Weitergabe der Arbeitszeitblätter der Mitarbeitenden/Prüfung der Gewährung von Zeitzuschlägen) im Sachgebiet „Städtischer Vollzugsdienst, Waffen-, Sprengstoff-, Jagd- und Fischereiangelegenheiten, Untere Jagdbehörde“.</w:t>
      </w:r>
    </w:p>
    <w:p w:rsidR="00DF0AD4" w:rsidRPr="00CB303D" w:rsidRDefault="00DF0AD4" w:rsidP="00DF0AD4">
      <w:pPr>
        <w:pStyle w:val="berschrift2"/>
      </w:pPr>
      <w:r w:rsidRPr="00CB303D">
        <w:t>3.2</w:t>
      </w:r>
      <w:r w:rsidRPr="00CB303D">
        <w:tab/>
        <w:t>Bisherige Aufgabenwahrnehmung</w:t>
      </w:r>
    </w:p>
    <w:p w:rsidR="007C25B4" w:rsidRPr="00CB303D" w:rsidRDefault="007C25B4" w:rsidP="007C25B4"/>
    <w:p w:rsidR="00A74581" w:rsidRPr="00CB303D" w:rsidRDefault="007C25B4" w:rsidP="0026560A">
      <w:r w:rsidRPr="00CB303D">
        <w:t>Der SVD weist aktuell 71 Vollzeitstellen auf.</w:t>
      </w:r>
      <w:r w:rsidR="008E58BB" w:rsidRPr="00CB303D">
        <w:t xml:space="preserve"> </w:t>
      </w:r>
      <w:r w:rsidRPr="00CB303D">
        <w:t xml:space="preserve">Die </w:t>
      </w:r>
      <w:r w:rsidR="005277C3" w:rsidRPr="00CB303D">
        <w:t>Beschäftigten sind an sieben</w:t>
      </w:r>
      <w:r w:rsidRPr="00CB303D">
        <w:t xml:space="preserve"> Tagen in der Woche in zwei Schichten von 6 </w:t>
      </w:r>
      <w:r w:rsidR="00005434" w:rsidRPr="00CB303D">
        <w:t>-</w:t>
      </w:r>
      <w:r w:rsidRPr="00CB303D">
        <w:t xml:space="preserve"> 22 Uhr im Einsatz.</w:t>
      </w:r>
      <w:r w:rsidR="00702744" w:rsidRPr="00CB303D">
        <w:t xml:space="preserve"> </w:t>
      </w:r>
      <w:r w:rsidR="00683F1D" w:rsidRPr="00CB303D">
        <w:t>M</w:t>
      </w:r>
      <w:r w:rsidR="00702744" w:rsidRPr="00CB303D">
        <w:t>it</w:t>
      </w:r>
      <w:r w:rsidR="0026560A" w:rsidRPr="00CB303D">
        <w:t xml:space="preserve"> dem vorhandenen Personal </w:t>
      </w:r>
      <w:r w:rsidR="00CD44A3" w:rsidRPr="00CB303D">
        <w:t xml:space="preserve">des städtischen Vollzugsdienstes </w:t>
      </w:r>
      <w:r w:rsidR="00683F1D" w:rsidRPr="00CB303D">
        <w:t xml:space="preserve">können </w:t>
      </w:r>
      <w:r w:rsidR="00171DF3" w:rsidRPr="00CB303D">
        <w:t xml:space="preserve">die </w:t>
      </w:r>
      <w:r w:rsidR="003F0FCF" w:rsidRPr="00CB303D">
        <w:t xml:space="preserve">vielfältigen </w:t>
      </w:r>
      <w:r w:rsidR="00171DF3" w:rsidRPr="00CB303D">
        <w:t xml:space="preserve">sicherheitsrelevanten </w:t>
      </w:r>
      <w:r w:rsidR="003F0FCF" w:rsidRPr="00CB303D">
        <w:t>Aufgaben</w:t>
      </w:r>
      <w:r w:rsidR="00171DF3" w:rsidRPr="00CB303D">
        <w:t xml:space="preserve"> nicht im erforderlichen Maß erledigt werden</w:t>
      </w:r>
      <w:r w:rsidR="00887216" w:rsidRPr="00CB303D">
        <w:t xml:space="preserve">, </w:t>
      </w:r>
      <w:r w:rsidR="00A43D22" w:rsidRPr="00CB303D">
        <w:t xml:space="preserve">zumal sich die Landespolizei zusehends auf ihre </w:t>
      </w:r>
      <w:r w:rsidR="00887216" w:rsidRPr="00CB303D">
        <w:t>originären Aufgaben der Strafvereitelung und -aufklärung zurückziehen muss.</w:t>
      </w:r>
      <w:r w:rsidR="00171DF3" w:rsidRPr="00CB303D">
        <w:t xml:space="preserve"> </w:t>
      </w:r>
      <w:r w:rsidR="00585017" w:rsidRPr="00CB303D">
        <w:t xml:space="preserve">So kann beispielsweise der </w:t>
      </w:r>
      <w:r w:rsidR="00887216" w:rsidRPr="00CB303D">
        <w:t>Beseitigung bzw. Bekämpfung der Verfestigung der in den letzten Jahren verstärkt beobachteten Auswüchse in den städti</w:t>
      </w:r>
      <w:r w:rsidR="002458E4" w:rsidRPr="00CB303D">
        <w:t>schen Fußgängerzonen und Parkan</w:t>
      </w:r>
      <w:r w:rsidR="00887216" w:rsidRPr="00CB303D">
        <w:t>lagen sowie d</w:t>
      </w:r>
      <w:r w:rsidR="003E652B" w:rsidRPr="00CB303D">
        <w:t>en Anliegen der Anwohner</w:t>
      </w:r>
      <w:r w:rsidR="00CB303D" w:rsidRPr="00CB303D">
        <w:t>/-</w:t>
      </w:r>
      <w:r w:rsidR="003E652B" w:rsidRPr="00CB303D">
        <w:t>innen, in ihrer Straße Anhaltekontrollen zur Eindämmung des „Schleichverkehrs“ durchzuführen</w:t>
      </w:r>
      <w:r w:rsidR="00887216" w:rsidRPr="00CB303D">
        <w:t xml:space="preserve">, </w:t>
      </w:r>
      <w:r w:rsidR="00583BFF" w:rsidRPr="00CB303D">
        <w:t>nur unzureichend nachgekommen werden.</w:t>
      </w:r>
    </w:p>
    <w:p w:rsidR="006220E9" w:rsidRPr="00CB303D" w:rsidRDefault="006220E9" w:rsidP="0026560A"/>
    <w:p w:rsidR="0026560A" w:rsidRPr="00CB303D" w:rsidRDefault="006220E9" w:rsidP="0026560A">
      <w:r w:rsidRPr="00CB303D">
        <w:t>Bereits beim aktuellen Personalbestand des Stä</w:t>
      </w:r>
      <w:r w:rsidR="00887216" w:rsidRPr="00CB303D">
        <w:t>dtischen Vollzugsdienstes können</w:t>
      </w:r>
      <w:r w:rsidRPr="00CB303D">
        <w:t xml:space="preserve"> die anfallenden administrativen Tätigkeiten nur durch regelmäßige Mehrarbeit des Leiters Streifendienst und Unterstützung der Sachgebietsleitung, welche zu Lasten der Aufgaben als Leitung des ebenfalls zugehörigen </w:t>
      </w:r>
      <w:r w:rsidR="00887216" w:rsidRPr="00CB303D">
        <w:t>Aufgaben</w:t>
      </w:r>
      <w:r w:rsidRPr="00CB303D">
        <w:t>bereichs „Waffen-, Sprengstoff-, Jagd- und Fischereiangelegenheiten, Untere Jagdbehörde“</w:t>
      </w:r>
      <w:r w:rsidR="00C821D5" w:rsidRPr="00CB303D">
        <w:t xml:space="preserve"> gehen</w:t>
      </w:r>
      <w:r w:rsidR="00213BA5" w:rsidRPr="00CB303D">
        <w:t>, bearbeitet werden</w:t>
      </w:r>
      <w:r w:rsidR="00AF647D" w:rsidRPr="00CB303D">
        <w:t>.</w:t>
      </w:r>
      <w:r w:rsidR="00C821D5" w:rsidRPr="00CB303D">
        <w:t xml:space="preserve"> Bei einem Stellenzuwachs um weitere 29 Stellen kann eine ordnungsgemäße Aufgabenerledigung nicht mehr gewährleistet werden</w:t>
      </w:r>
      <w:r w:rsidR="0015198D" w:rsidRPr="00CB303D">
        <w:t xml:space="preserve">, ohne dass für die administrativen Aufgaben eine weitere Stelle </w:t>
      </w:r>
      <w:r w:rsidR="00751C17" w:rsidRPr="00CB303D">
        <w:t xml:space="preserve">(1,0 x A 10) </w:t>
      </w:r>
      <w:r w:rsidR="0015198D" w:rsidRPr="00CB303D">
        <w:t xml:space="preserve">geschaffen wird. </w:t>
      </w:r>
    </w:p>
    <w:p w:rsidR="00040BFC" w:rsidRPr="00CB303D" w:rsidRDefault="00040BFC" w:rsidP="00040BFC">
      <w:pPr>
        <w:pStyle w:val="berschrift2"/>
      </w:pPr>
      <w:r w:rsidRPr="00CB303D">
        <w:t>3.3</w:t>
      </w:r>
      <w:r w:rsidRPr="00CB303D">
        <w:tab/>
        <w:t>Auswirkungen bei Ablehnung der Stellenschaffungen</w:t>
      </w:r>
    </w:p>
    <w:p w:rsidR="00E02F5A" w:rsidRPr="00CB303D" w:rsidRDefault="00E02F5A" w:rsidP="00E02F5A"/>
    <w:p w:rsidR="00D553CC" w:rsidRPr="00CB303D" w:rsidRDefault="0096588A" w:rsidP="00D553CC">
      <w:r w:rsidRPr="00CB303D">
        <w:t>Die in der Öffentlichkeit immer wieder diskutierten Sicherheitsdefizite können nicht allein durch die L</w:t>
      </w:r>
      <w:r w:rsidR="00CD44A3" w:rsidRPr="00CB303D">
        <w:t>andespolizei aufgefangen werden</w:t>
      </w:r>
      <w:r w:rsidR="00A2089E" w:rsidRPr="00CB303D">
        <w:t xml:space="preserve">. </w:t>
      </w:r>
      <w:r w:rsidRPr="00CB303D">
        <w:t xml:space="preserve">Die Grenzen der Leistungsfähigkeit des Städtischen Vollzugsdienstes sind jedoch überschritten. </w:t>
      </w:r>
      <w:r w:rsidR="00CD44A3" w:rsidRPr="00CB303D">
        <w:t>Ohne</w:t>
      </w:r>
      <w:r w:rsidR="00D553CC" w:rsidRPr="00CB303D">
        <w:t xml:space="preserve"> weiteres Personal </w:t>
      </w:r>
      <w:r w:rsidR="00CD44A3" w:rsidRPr="00CB303D">
        <w:t xml:space="preserve">können </w:t>
      </w:r>
      <w:r w:rsidR="000B71DC" w:rsidRPr="00CB303D">
        <w:t xml:space="preserve">viele </w:t>
      </w:r>
      <w:r w:rsidR="00CD44A3" w:rsidRPr="00CB303D">
        <w:t xml:space="preserve">Aufgaben </w:t>
      </w:r>
      <w:r w:rsidR="00D553CC" w:rsidRPr="00CB303D">
        <w:t>dauerhaft nicht im erfor</w:t>
      </w:r>
      <w:r w:rsidRPr="00CB303D">
        <w:t>derlichen Umfang erfüllt werden.</w:t>
      </w:r>
      <w:r w:rsidR="00A452BE" w:rsidRPr="00CB303D">
        <w:t xml:space="preserve"> Die zunehmenden </w:t>
      </w:r>
      <w:r w:rsidR="00D553CC" w:rsidRPr="00CB303D">
        <w:t xml:space="preserve">Ordnungsstörungen </w:t>
      </w:r>
      <w:r w:rsidR="00A452BE" w:rsidRPr="00CB303D">
        <w:t xml:space="preserve">werden </w:t>
      </w:r>
      <w:r w:rsidR="00D553CC" w:rsidRPr="00CB303D">
        <w:t xml:space="preserve">die Öffentlichkeit und das subjektive Sicherheitsempfinden </w:t>
      </w:r>
      <w:r w:rsidR="00A452BE" w:rsidRPr="00CB303D">
        <w:t xml:space="preserve">der Bevölkerung </w:t>
      </w:r>
      <w:r w:rsidR="00D553CC" w:rsidRPr="00CB303D">
        <w:t xml:space="preserve">nachhaltig zunehmend negativ </w:t>
      </w:r>
      <w:r w:rsidR="003F0FCF" w:rsidRPr="00CB303D">
        <w:t>beeinflussen</w:t>
      </w:r>
      <w:r w:rsidR="00CD44A3" w:rsidRPr="00CB303D">
        <w:t>, so</w:t>
      </w:r>
      <w:r w:rsidR="00CB303D" w:rsidRPr="00CB303D">
        <w:t xml:space="preserve"> </w:t>
      </w:r>
      <w:r w:rsidR="00CD44A3" w:rsidRPr="00CB303D">
        <w:t>dass</w:t>
      </w:r>
      <w:r w:rsidR="00D553CC" w:rsidRPr="00CB303D">
        <w:t xml:space="preserve"> die Landeshauptstadt Stuttgart nicht nur für die </w:t>
      </w:r>
      <w:r w:rsidR="004074B8" w:rsidRPr="00CB303D">
        <w:t>Einwohner</w:t>
      </w:r>
      <w:r w:rsidR="00CB303D" w:rsidRPr="00CB303D">
        <w:t>/-</w:t>
      </w:r>
      <w:r w:rsidR="00793CDE" w:rsidRPr="00CB303D">
        <w:t>innen</w:t>
      </w:r>
      <w:r w:rsidR="004074B8" w:rsidRPr="00CB303D">
        <w:t>,</w:t>
      </w:r>
      <w:r w:rsidR="00D553CC" w:rsidRPr="00CB303D">
        <w:t xml:space="preserve"> sondern auch für Besucher</w:t>
      </w:r>
      <w:r w:rsidR="00CB303D" w:rsidRPr="00CB303D">
        <w:t>/-</w:t>
      </w:r>
      <w:r w:rsidR="00793CDE" w:rsidRPr="00CB303D">
        <w:t>innen und Gewerbetreibende</w:t>
      </w:r>
      <w:r w:rsidR="00D553CC" w:rsidRPr="00CB303D">
        <w:t xml:space="preserve"> </w:t>
      </w:r>
      <w:r w:rsidR="00C02856" w:rsidRPr="00CB303D">
        <w:t>weniger</w:t>
      </w:r>
      <w:r w:rsidR="00D553CC" w:rsidRPr="00CB303D">
        <w:t xml:space="preserve"> attraktiv </w:t>
      </w:r>
      <w:r w:rsidR="00CD44A3" w:rsidRPr="00CB303D">
        <w:t>wird</w:t>
      </w:r>
      <w:r w:rsidR="00D553CC" w:rsidRPr="00CB303D">
        <w:t xml:space="preserve">. </w:t>
      </w:r>
    </w:p>
    <w:p w:rsidR="00435442" w:rsidRPr="00CB303D" w:rsidRDefault="00884D6C" w:rsidP="000B71DC">
      <w:pPr>
        <w:pStyle w:val="berschrift1"/>
      </w:pPr>
      <w:r w:rsidRPr="00CB303D">
        <w:t>4</w:t>
      </w:r>
      <w:r w:rsidRPr="00CB303D">
        <w:tab/>
      </w:r>
      <w:r w:rsidR="003D7B0B" w:rsidRPr="00CB303D">
        <w:t>Stellenvermerke</w:t>
      </w:r>
    </w:p>
    <w:p w:rsidR="006E0575" w:rsidRPr="00CB303D" w:rsidRDefault="007C4B02" w:rsidP="00884D6C">
      <w:r w:rsidRPr="00CB303D">
        <w:t>K</w:t>
      </w:r>
      <w:r w:rsidR="00CB1729" w:rsidRPr="00CB303D">
        <w:t>eine</w:t>
      </w:r>
      <w:r w:rsidRPr="00CB303D">
        <w:t>.</w:t>
      </w:r>
    </w:p>
    <w:sectPr w:rsidR="006E0575" w:rsidRPr="00CB303D" w:rsidSect="00393F4D">
      <w:headerReference w:type="default" r:id="rId7"/>
      <w:pgSz w:w="11907" w:h="16840" w:code="9"/>
      <w:pgMar w:top="1418" w:right="1134" w:bottom="993"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64" w:rsidRDefault="00E82D64">
      <w:r>
        <w:separator/>
      </w:r>
    </w:p>
  </w:endnote>
  <w:endnote w:type="continuationSeparator" w:id="0">
    <w:p w:rsidR="00E82D64" w:rsidRDefault="00E8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64" w:rsidRDefault="00E82D64">
      <w:r>
        <w:separator/>
      </w:r>
    </w:p>
  </w:footnote>
  <w:footnote w:type="continuationSeparator" w:id="0">
    <w:p w:rsidR="00E82D64" w:rsidRDefault="00E8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64" w:rsidRDefault="00E82D64">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A41B5B">
      <w:rPr>
        <w:rStyle w:val="Seitenzahl"/>
        <w:noProof/>
      </w:rPr>
      <w:t>2</w:t>
    </w:r>
    <w:r>
      <w:rPr>
        <w:rStyle w:val="Seitenzahl"/>
      </w:rPr>
      <w:fldChar w:fldCharType="end"/>
    </w:r>
    <w:r>
      <w:rPr>
        <w:rStyle w:val="Seitenzahl"/>
      </w:rPr>
      <w:t xml:space="preserve"> -</w:t>
    </w:r>
  </w:p>
  <w:p w:rsidR="00E82D64" w:rsidRDefault="00E82D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B00B2"/>
    <w:multiLevelType w:val="hybridMultilevel"/>
    <w:tmpl w:val="A78E9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7E41BE"/>
    <w:multiLevelType w:val="hybridMultilevel"/>
    <w:tmpl w:val="9E4A1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5325E2"/>
    <w:multiLevelType w:val="hybridMultilevel"/>
    <w:tmpl w:val="8D7C5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5"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32FD4CF0"/>
    <w:multiLevelType w:val="hybridMultilevel"/>
    <w:tmpl w:val="CAD6F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619A0EF0"/>
    <w:multiLevelType w:val="hybridMultilevel"/>
    <w:tmpl w:val="7F320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0" w15:restartNumberingAfterBreak="0">
    <w:nsid w:val="73B377DA"/>
    <w:multiLevelType w:val="hybridMultilevel"/>
    <w:tmpl w:val="5066B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4"/>
  </w:num>
  <w:num w:numId="4">
    <w:abstractNumId w:val="7"/>
  </w:num>
  <w:num w:numId="5">
    <w:abstractNumId w:val="9"/>
  </w:num>
  <w:num w:numId="6">
    <w:abstractNumId w:val="2"/>
  </w:num>
  <w:num w:numId="7">
    <w:abstractNumId w:val="6"/>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05434"/>
    <w:rsid w:val="0002470E"/>
    <w:rsid w:val="00040BFC"/>
    <w:rsid w:val="0004635D"/>
    <w:rsid w:val="0005350F"/>
    <w:rsid w:val="0005639D"/>
    <w:rsid w:val="00064D3B"/>
    <w:rsid w:val="000772AC"/>
    <w:rsid w:val="00090A10"/>
    <w:rsid w:val="0009760A"/>
    <w:rsid w:val="000A1146"/>
    <w:rsid w:val="000A2EB1"/>
    <w:rsid w:val="000B5270"/>
    <w:rsid w:val="000B71DC"/>
    <w:rsid w:val="000C0165"/>
    <w:rsid w:val="000C1BFD"/>
    <w:rsid w:val="000C6546"/>
    <w:rsid w:val="000C7282"/>
    <w:rsid w:val="000D2FA7"/>
    <w:rsid w:val="000F2F85"/>
    <w:rsid w:val="00104F78"/>
    <w:rsid w:val="00110A64"/>
    <w:rsid w:val="0011112B"/>
    <w:rsid w:val="00114952"/>
    <w:rsid w:val="00137FC3"/>
    <w:rsid w:val="00142950"/>
    <w:rsid w:val="00143A1C"/>
    <w:rsid w:val="0014415D"/>
    <w:rsid w:val="00145FD6"/>
    <w:rsid w:val="0015198D"/>
    <w:rsid w:val="00163034"/>
    <w:rsid w:val="001641A0"/>
    <w:rsid w:val="00165C0D"/>
    <w:rsid w:val="0016610A"/>
    <w:rsid w:val="00171DF3"/>
    <w:rsid w:val="001745D4"/>
    <w:rsid w:val="00181857"/>
    <w:rsid w:val="00184EDC"/>
    <w:rsid w:val="00194770"/>
    <w:rsid w:val="00197D62"/>
    <w:rsid w:val="001A191E"/>
    <w:rsid w:val="001A5543"/>
    <w:rsid w:val="001A5F9B"/>
    <w:rsid w:val="001B6CA8"/>
    <w:rsid w:val="001C1EAB"/>
    <w:rsid w:val="001D4667"/>
    <w:rsid w:val="001D4E25"/>
    <w:rsid w:val="001E2A10"/>
    <w:rsid w:val="001E2E43"/>
    <w:rsid w:val="001F51C3"/>
    <w:rsid w:val="001F7237"/>
    <w:rsid w:val="00202880"/>
    <w:rsid w:val="00213BA5"/>
    <w:rsid w:val="00217878"/>
    <w:rsid w:val="0023120C"/>
    <w:rsid w:val="00241F98"/>
    <w:rsid w:val="00245586"/>
    <w:rsid w:val="002458E4"/>
    <w:rsid w:val="0025302C"/>
    <w:rsid w:val="00257916"/>
    <w:rsid w:val="00260667"/>
    <w:rsid w:val="002637C2"/>
    <w:rsid w:val="0026560A"/>
    <w:rsid w:val="00287866"/>
    <w:rsid w:val="002924CB"/>
    <w:rsid w:val="002A20D1"/>
    <w:rsid w:val="002B58A3"/>
    <w:rsid w:val="002B5955"/>
    <w:rsid w:val="002C03E1"/>
    <w:rsid w:val="002C63B5"/>
    <w:rsid w:val="002C71FA"/>
    <w:rsid w:val="002D2FA4"/>
    <w:rsid w:val="002E1CB2"/>
    <w:rsid w:val="002E3B7C"/>
    <w:rsid w:val="002E3C33"/>
    <w:rsid w:val="002F2920"/>
    <w:rsid w:val="003044DD"/>
    <w:rsid w:val="00310E4E"/>
    <w:rsid w:val="0033127C"/>
    <w:rsid w:val="00337C36"/>
    <w:rsid w:val="00340D78"/>
    <w:rsid w:val="00352662"/>
    <w:rsid w:val="0036227D"/>
    <w:rsid w:val="00380937"/>
    <w:rsid w:val="003879A8"/>
    <w:rsid w:val="0039214D"/>
    <w:rsid w:val="00393F4D"/>
    <w:rsid w:val="003957EA"/>
    <w:rsid w:val="00396675"/>
    <w:rsid w:val="003A429C"/>
    <w:rsid w:val="003A74C1"/>
    <w:rsid w:val="003C5F34"/>
    <w:rsid w:val="003D63AB"/>
    <w:rsid w:val="003D7B0B"/>
    <w:rsid w:val="003E652B"/>
    <w:rsid w:val="003F0FCF"/>
    <w:rsid w:val="00404189"/>
    <w:rsid w:val="004074B8"/>
    <w:rsid w:val="00435442"/>
    <w:rsid w:val="00435766"/>
    <w:rsid w:val="00444836"/>
    <w:rsid w:val="00444EF9"/>
    <w:rsid w:val="00470135"/>
    <w:rsid w:val="0047606A"/>
    <w:rsid w:val="004908B5"/>
    <w:rsid w:val="0049121B"/>
    <w:rsid w:val="00494B2C"/>
    <w:rsid w:val="00497E8C"/>
    <w:rsid w:val="004A1688"/>
    <w:rsid w:val="004B6796"/>
    <w:rsid w:val="004B6B4D"/>
    <w:rsid w:val="004B6F19"/>
    <w:rsid w:val="004C7A29"/>
    <w:rsid w:val="00514D17"/>
    <w:rsid w:val="005238DA"/>
    <w:rsid w:val="005271BA"/>
    <w:rsid w:val="005277C3"/>
    <w:rsid w:val="00534C0A"/>
    <w:rsid w:val="00540CF1"/>
    <w:rsid w:val="0055355F"/>
    <w:rsid w:val="0055376E"/>
    <w:rsid w:val="00555E01"/>
    <w:rsid w:val="0057535F"/>
    <w:rsid w:val="0058384D"/>
    <w:rsid w:val="00583BFF"/>
    <w:rsid w:val="00585017"/>
    <w:rsid w:val="0058696E"/>
    <w:rsid w:val="005A04CF"/>
    <w:rsid w:val="005A0A9D"/>
    <w:rsid w:val="005A56AA"/>
    <w:rsid w:val="005A6AE9"/>
    <w:rsid w:val="005C307E"/>
    <w:rsid w:val="005C464F"/>
    <w:rsid w:val="005D264E"/>
    <w:rsid w:val="005D454E"/>
    <w:rsid w:val="005E19C6"/>
    <w:rsid w:val="005E510D"/>
    <w:rsid w:val="005F0BDF"/>
    <w:rsid w:val="005F5B3D"/>
    <w:rsid w:val="00606F80"/>
    <w:rsid w:val="00610D8E"/>
    <w:rsid w:val="00620FA6"/>
    <w:rsid w:val="006220E9"/>
    <w:rsid w:val="0064552E"/>
    <w:rsid w:val="00647C23"/>
    <w:rsid w:val="00660C35"/>
    <w:rsid w:val="006645F8"/>
    <w:rsid w:val="0066552B"/>
    <w:rsid w:val="00665F6B"/>
    <w:rsid w:val="00672877"/>
    <w:rsid w:val="00683F1D"/>
    <w:rsid w:val="006913E9"/>
    <w:rsid w:val="006A0E7B"/>
    <w:rsid w:val="006A3C8B"/>
    <w:rsid w:val="006A61E3"/>
    <w:rsid w:val="006B6D50"/>
    <w:rsid w:val="006C3CAE"/>
    <w:rsid w:val="006D63AA"/>
    <w:rsid w:val="006E0575"/>
    <w:rsid w:val="006E457C"/>
    <w:rsid w:val="006F62C0"/>
    <w:rsid w:val="00702744"/>
    <w:rsid w:val="007040D8"/>
    <w:rsid w:val="00705CF3"/>
    <w:rsid w:val="00710409"/>
    <w:rsid w:val="00717BF3"/>
    <w:rsid w:val="00720BE3"/>
    <w:rsid w:val="00724859"/>
    <w:rsid w:val="00726E80"/>
    <w:rsid w:val="00730180"/>
    <w:rsid w:val="00730EE3"/>
    <w:rsid w:val="00740275"/>
    <w:rsid w:val="00750584"/>
    <w:rsid w:val="00751C17"/>
    <w:rsid w:val="00754659"/>
    <w:rsid w:val="00773B2A"/>
    <w:rsid w:val="00775A7E"/>
    <w:rsid w:val="00793287"/>
    <w:rsid w:val="00793CDE"/>
    <w:rsid w:val="00797143"/>
    <w:rsid w:val="007A300A"/>
    <w:rsid w:val="007A6721"/>
    <w:rsid w:val="007B5437"/>
    <w:rsid w:val="007C1986"/>
    <w:rsid w:val="007C25B4"/>
    <w:rsid w:val="007C4B02"/>
    <w:rsid w:val="007E1EB9"/>
    <w:rsid w:val="007E3625"/>
    <w:rsid w:val="007E3B79"/>
    <w:rsid w:val="0080246F"/>
    <w:rsid w:val="008066EE"/>
    <w:rsid w:val="00817BB6"/>
    <w:rsid w:val="00834BCE"/>
    <w:rsid w:val="00835E03"/>
    <w:rsid w:val="008457A0"/>
    <w:rsid w:val="00850C64"/>
    <w:rsid w:val="00855067"/>
    <w:rsid w:val="00861672"/>
    <w:rsid w:val="00862BEB"/>
    <w:rsid w:val="00862EDB"/>
    <w:rsid w:val="00864227"/>
    <w:rsid w:val="00871350"/>
    <w:rsid w:val="00884D6C"/>
    <w:rsid w:val="008865EE"/>
    <w:rsid w:val="00887216"/>
    <w:rsid w:val="008A62D3"/>
    <w:rsid w:val="008B03F1"/>
    <w:rsid w:val="008D2240"/>
    <w:rsid w:val="008E0D32"/>
    <w:rsid w:val="008E2E9E"/>
    <w:rsid w:val="008E4B36"/>
    <w:rsid w:val="008E58BB"/>
    <w:rsid w:val="008E63AE"/>
    <w:rsid w:val="008F2EA5"/>
    <w:rsid w:val="008F3257"/>
    <w:rsid w:val="009002FF"/>
    <w:rsid w:val="00901443"/>
    <w:rsid w:val="009228E5"/>
    <w:rsid w:val="00950FCE"/>
    <w:rsid w:val="0096588A"/>
    <w:rsid w:val="00976588"/>
    <w:rsid w:val="0098364F"/>
    <w:rsid w:val="009A0BE2"/>
    <w:rsid w:val="009A16FB"/>
    <w:rsid w:val="009A6849"/>
    <w:rsid w:val="009B37C6"/>
    <w:rsid w:val="009C2DFE"/>
    <w:rsid w:val="009D7730"/>
    <w:rsid w:val="009E57A5"/>
    <w:rsid w:val="009E6DDA"/>
    <w:rsid w:val="009F0C95"/>
    <w:rsid w:val="00A0289B"/>
    <w:rsid w:val="00A2089E"/>
    <w:rsid w:val="00A22350"/>
    <w:rsid w:val="00A224B9"/>
    <w:rsid w:val="00A27CA7"/>
    <w:rsid w:val="00A41B5B"/>
    <w:rsid w:val="00A43D22"/>
    <w:rsid w:val="00A452BE"/>
    <w:rsid w:val="00A53D26"/>
    <w:rsid w:val="00A71D0A"/>
    <w:rsid w:val="00A74581"/>
    <w:rsid w:val="00A77F1E"/>
    <w:rsid w:val="00A81F8D"/>
    <w:rsid w:val="00A83216"/>
    <w:rsid w:val="00A86765"/>
    <w:rsid w:val="00AA5612"/>
    <w:rsid w:val="00AC09EE"/>
    <w:rsid w:val="00AE1ED2"/>
    <w:rsid w:val="00AE69B7"/>
    <w:rsid w:val="00AF3A7D"/>
    <w:rsid w:val="00AF4873"/>
    <w:rsid w:val="00AF63CB"/>
    <w:rsid w:val="00AF647D"/>
    <w:rsid w:val="00B04290"/>
    <w:rsid w:val="00B2097D"/>
    <w:rsid w:val="00B2759B"/>
    <w:rsid w:val="00B27A44"/>
    <w:rsid w:val="00B35302"/>
    <w:rsid w:val="00B427CD"/>
    <w:rsid w:val="00B4474A"/>
    <w:rsid w:val="00B47829"/>
    <w:rsid w:val="00B56450"/>
    <w:rsid w:val="00B56FED"/>
    <w:rsid w:val="00B653F6"/>
    <w:rsid w:val="00B71695"/>
    <w:rsid w:val="00B737A4"/>
    <w:rsid w:val="00B80DEF"/>
    <w:rsid w:val="00B87171"/>
    <w:rsid w:val="00B92A30"/>
    <w:rsid w:val="00B9672C"/>
    <w:rsid w:val="00BB1C8F"/>
    <w:rsid w:val="00BC3B3D"/>
    <w:rsid w:val="00BC4669"/>
    <w:rsid w:val="00BC5209"/>
    <w:rsid w:val="00BC5B74"/>
    <w:rsid w:val="00BC7001"/>
    <w:rsid w:val="00BD5841"/>
    <w:rsid w:val="00BE1792"/>
    <w:rsid w:val="00BE5782"/>
    <w:rsid w:val="00BF2C6A"/>
    <w:rsid w:val="00BF733E"/>
    <w:rsid w:val="00C01B19"/>
    <w:rsid w:val="00C020D8"/>
    <w:rsid w:val="00C02856"/>
    <w:rsid w:val="00C16EF1"/>
    <w:rsid w:val="00C323C3"/>
    <w:rsid w:val="00C448D3"/>
    <w:rsid w:val="00C453AE"/>
    <w:rsid w:val="00C56D58"/>
    <w:rsid w:val="00C821D5"/>
    <w:rsid w:val="00C83087"/>
    <w:rsid w:val="00C85433"/>
    <w:rsid w:val="00C93618"/>
    <w:rsid w:val="00C95B79"/>
    <w:rsid w:val="00CA6B9C"/>
    <w:rsid w:val="00CB1729"/>
    <w:rsid w:val="00CB303D"/>
    <w:rsid w:val="00CB3F24"/>
    <w:rsid w:val="00CB6F3C"/>
    <w:rsid w:val="00CD44A3"/>
    <w:rsid w:val="00CD4E1F"/>
    <w:rsid w:val="00CD6C09"/>
    <w:rsid w:val="00CE6FEC"/>
    <w:rsid w:val="00CF79DB"/>
    <w:rsid w:val="00CF7CFE"/>
    <w:rsid w:val="00D046A9"/>
    <w:rsid w:val="00D07CD8"/>
    <w:rsid w:val="00D22A13"/>
    <w:rsid w:val="00D232E9"/>
    <w:rsid w:val="00D54F48"/>
    <w:rsid w:val="00D553CC"/>
    <w:rsid w:val="00D60708"/>
    <w:rsid w:val="00D6139B"/>
    <w:rsid w:val="00D62120"/>
    <w:rsid w:val="00D64212"/>
    <w:rsid w:val="00D673E8"/>
    <w:rsid w:val="00D91068"/>
    <w:rsid w:val="00D9288B"/>
    <w:rsid w:val="00D94449"/>
    <w:rsid w:val="00D95841"/>
    <w:rsid w:val="00DA0739"/>
    <w:rsid w:val="00DB3D6C"/>
    <w:rsid w:val="00DB439C"/>
    <w:rsid w:val="00DC1DA8"/>
    <w:rsid w:val="00DD5015"/>
    <w:rsid w:val="00DD6B88"/>
    <w:rsid w:val="00DF00A3"/>
    <w:rsid w:val="00DF0AD4"/>
    <w:rsid w:val="00E014B6"/>
    <w:rsid w:val="00E014F5"/>
    <w:rsid w:val="00E02F5A"/>
    <w:rsid w:val="00E1162F"/>
    <w:rsid w:val="00E11D5F"/>
    <w:rsid w:val="00E1206F"/>
    <w:rsid w:val="00E14937"/>
    <w:rsid w:val="00E20E1F"/>
    <w:rsid w:val="00E21DF5"/>
    <w:rsid w:val="00E21EDF"/>
    <w:rsid w:val="00E246A8"/>
    <w:rsid w:val="00E2691F"/>
    <w:rsid w:val="00E41C13"/>
    <w:rsid w:val="00E43500"/>
    <w:rsid w:val="00E439A0"/>
    <w:rsid w:val="00E575AC"/>
    <w:rsid w:val="00E7016A"/>
    <w:rsid w:val="00E7118F"/>
    <w:rsid w:val="00E747DD"/>
    <w:rsid w:val="00E8044C"/>
    <w:rsid w:val="00E82D64"/>
    <w:rsid w:val="00E868A6"/>
    <w:rsid w:val="00E912D8"/>
    <w:rsid w:val="00EA0D3E"/>
    <w:rsid w:val="00EB0E82"/>
    <w:rsid w:val="00EE5812"/>
    <w:rsid w:val="00EF352A"/>
    <w:rsid w:val="00F14376"/>
    <w:rsid w:val="00F20623"/>
    <w:rsid w:val="00F27657"/>
    <w:rsid w:val="00F342DC"/>
    <w:rsid w:val="00F37F03"/>
    <w:rsid w:val="00F50515"/>
    <w:rsid w:val="00F63041"/>
    <w:rsid w:val="00F72267"/>
    <w:rsid w:val="00F74612"/>
    <w:rsid w:val="00F76452"/>
    <w:rsid w:val="00F76E8D"/>
    <w:rsid w:val="00F86B69"/>
    <w:rsid w:val="00F9007D"/>
    <w:rsid w:val="00F956A6"/>
    <w:rsid w:val="00FA284C"/>
    <w:rsid w:val="00FA2A98"/>
    <w:rsid w:val="00FA3506"/>
    <w:rsid w:val="00FB4A4D"/>
    <w:rsid w:val="00FC0CE5"/>
    <w:rsid w:val="00FD6B41"/>
    <w:rsid w:val="00FD6B46"/>
    <w:rsid w:val="00FE1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054AF"/>
  <w15:docId w15:val="{12AD20E3-DFCD-4445-90EE-C5CA6D3D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8F3257"/>
    <w:pPr>
      <w:keepNext/>
      <w:spacing w:before="240" w:after="60"/>
      <w:outlineLvl w:val="2"/>
    </w:pPr>
    <w:rPr>
      <w:b/>
    </w:rPr>
  </w:style>
  <w:style w:type="paragraph" w:styleId="berschrift4">
    <w:name w:val="heading 4"/>
    <w:basedOn w:val="Standard"/>
    <w:next w:val="Standard"/>
    <w:qFormat/>
    <w:rsid w:val="008F3257"/>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8F3257"/>
    <w:rPr>
      <w:sz w:val="16"/>
    </w:rPr>
  </w:style>
  <w:style w:type="paragraph" w:styleId="Kommentartext">
    <w:name w:val="annotation text"/>
    <w:basedOn w:val="Standard"/>
    <w:link w:val="KommentartextZchn"/>
    <w:semiHidden/>
    <w:rsid w:val="008F3257"/>
    <w:rPr>
      <w:sz w:val="20"/>
    </w:rPr>
  </w:style>
  <w:style w:type="paragraph" w:styleId="Fuzeile">
    <w:name w:val="footer"/>
    <w:basedOn w:val="Standard"/>
    <w:rsid w:val="008F3257"/>
    <w:pPr>
      <w:tabs>
        <w:tab w:val="center" w:pos="4819"/>
        <w:tab w:val="right" w:pos="9071"/>
      </w:tabs>
    </w:pPr>
  </w:style>
  <w:style w:type="paragraph" w:styleId="Kopfzeile">
    <w:name w:val="header"/>
    <w:basedOn w:val="Standard"/>
    <w:rsid w:val="008F3257"/>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ommentarthema">
    <w:name w:val="annotation subject"/>
    <w:basedOn w:val="Kommentartext"/>
    <w:next w:val="Kommentartext"/>
    <w:link w:val="KommentarthemaZchn"/>
    <w:rsid w:val="00A53D26"/>
    <w:rPr>
      <w:b/>
      <w:bCs/>
    </w:rPr>
  </w:style>
  <w:style w:type="character" w:customStyle="1" w:styleId="KommentartextZchn">
    <w:name w:val="Kommentartext Zchn"/>
    <w:basedOn w:val="Absatz-Standardschriftart"/>
    <w:link w:val="Kommentartext"/>
    <w:semiHidden/>
    <w:rsid w:val="00A53D26"/>
    <w:rPr>
      <w:rFonts w:ascii="Arial" w:hAnsi="Arial"/>
    </w:rPr>
  </w:style>
  <w:style w:type="character" w:customStyle="1" w:styleId="KommentarthemaZchn">
    <w:name w:val="Kommentarthema Zchn"/>
    <w:basedOn w:val="KommentartextZchn"/>
    <w:link w:val="Kommentarthema"/>
    <w:rsid w:val="00A53D26"/>
    <w:rPr>
      <w:rFonts w:ascii="Arial" w:hAnsi="Arial"/>
    </w:rPr>
  </w:style>
  <w:style w:type="paragraph" w:styleId="Listenabsatz">
    <w:name w:val="List Paragraph"/>
    <w:basedOn w:val="Standard"/>
    <w:uiPriority w:val="34"/>
    <w:qFormat/>
    <w:rsid w:val="009F0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4343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Baumann, Gerhard</cp:lastModifiedBy>
  <cp:revision>36</cp:revision>
  <cp:lastPrinted>2021-09-30T10:47:00Z</cp:lastPrinted>
  <dcterms:created xsi:type="dcterms:W3CDTF">2021-01-19T17:08:00Z</dcterms:created>
  <dcterms:modified xsi:type="dcterms:W3CDTF">2021-09-30T10:47:00Z</dcterms:modified>
</cp:coreProperties>
</file>