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907DC5">
        <w:t>34</w:t>
      </w:r>
      <w:r w:rsidRPr="006E0575">
        <w:t xml:space="preserve"> zur GRDrs </w:t>
      </w:r>
      <w:r w:rsidR="00907DC5">
        <w:t>703</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0D4AEC">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1A2DD5" w:rsidRDefault="001A2DD5" w:rsidP="0030686C">
            <w:pPr>
              <w:rPr>
                <w:sz w:val="20"/>
              </w:rPr>
            </w:pPr>
          </w:p>
          <w:p w:rsidR="00DF10EC" w:rsidRDefault="001A2DD5" w:rsidP="0030686C">
            <w:pPr>
              <w:rPr>
                <w:sz w:val="20"/>
              </w:rPr>
            </w:pPr>
            <w:r>
              <w:rPr>
                <w:sz w:val="20"/>
              </w:rPr>
              <w:t>52-43</w:t>
            </w:r>
            <w:r w:rsidR="00DF10EC">
              <w:rPr>
                <w:sz w:val="20"/>
              </w:rPr>
              <w:t xml:space="preserve">  </w:t>
            </w:r>
          </w:p>
          <w:p w:rsidR="00DF10EC" w:rsidRDefault="00DF10EC" w:rsidP="0030686C">
            <w:pPr>
              <w:rPr>
                <w:sz w:val="20"/>
              </w:rPr>
            </w:pPr>
          </w:p>
          <w:p w:rsidR="005F5B3D" w:rsidRDefault="00DF10EC" w:rsidP="0030686C">
            <w:pPr>
              <w:rPr>
                <w:sz w:val="20"/>
              </w:rPr>
            </w:pPr>
            <w:r>
              <w:rPr>
                <w:sz w:val="20"/>
              </w:rPr>
              <w:t>5243 2000</w:t>
            </w:r>
          </w:p>
          <w:p w:rsidR="00C04005" w:rsidRDefault="00C04005" w:rsidP="0030686C">
            <w:pPr>
              <w:rPr>
                <w:sz w:val="20"/>
              </w:rPr>
            </w:pPr>
          </w:p>
          <w:p w:rsidR="00C04005" w:rsidRPr="006E0575" w:rsidRDefault="00C04005" w:rsidP="0030686C">
            <w:pPr>
              <w:rPr>
                <w:sz w:val="20"/>
              </w:rPr>
            </w:pPr>
          </w:p>
        </w:tc>
        <w:tc>
          <w:tcPr>
            <w:tcW w:w="1701" w:type="dxa"/>
          </w:tcPr>
          <w:p w:rsidR="001A2DD5" w:rsidRDefault="001A2DD5" w:rsidP="0030686C">
            <w:pPr>
              <w:rPr>
                <w:sz w:val="20"/>
              </w:rPr>
            </w:pPr>
          </w:p>
          <w:p w:rsidR="005F5B3D" w:rsidRPr="006E0575" w:rsidRDefault="000D4AEC" w:rsidP="0030686C">
            <w:pPr>
              <w:rPr>
                <w:sz w:val="20"/>
              </w:rPr>
            </w:pPr>
            <w:r>
              <w:rPr>
                <w:sz w:val="20"/>
              </w:rPr>
              <w:t>Amt für Sport und Bewegung</w:t>
            </w:r>
          </w:p>
        </w:tc>
        <w:tc>
          <w:tcPr>
            <w:tcW w:w="794" w:type="dxa"/>
          </w:tcPr>
          <w:p w:rsidR="001A2DD5" w:rsidRDefault="001A2DD5" w:rsidP="0030686C">
            <w:pPr>
              <w:rPr>
                <w:sz w:val="20"/>
              </w:rPr>
            </w:pPr>
          </w:p>
          <w:p w:rsidR="00C04005" w:rsidRPr="006E0575" w:rsidRDefault="00571851" w:rsidP="00571851">
            <w:pPr>
              <w:rPr>
                <w:sz w:val="20"/>
              </w:rPr>
            </w:pPr>
            <w:r>
              <w:rPr>
                <w:sz w:val="20"/>
              </w:rPr>
              <w:t xml:space="preserve">EG 10 </w:t>
            </w:r>
          </w:p>
        </w:tc>
        <w:tc>
          <w:tcPr>
            <w:tcW w:w="1928" w:type="dxa"/>
          </w:tcPr>
          <w:p w:rsidR="001A2DD5" w:rsidRDefault="001A2DD5" w:rsidP="0030686C">
            <w:pPr>
              <w:rPr>
                <w:sz w:val="20"/>
              </w:rPr>
            </w:pPr>
          </w:p>
          <w:p w:rsidR="000B78C7" w:rsidRDefault="001F7C1F" w:rsidP="0030686C">
            <w:pPr>
              <w:rPr>
                <w:sz w:val="20"/>
              </w:rPr>
            </w:pPr>
            <w:r>
              <w:rPr>
                <w:sz w:val="20"/>
              </w:rPr>
              <w:t>Sachbearbeit</w:t>
            </w:r>
            <w:r w:rsidR="00AA504C">
              <w:rPr>
                <w:sz w:val="20"/>
              </w:rPr>
              <w:t>er/-in</w:t>
            </w:r>
            <w:r>
              <w:rPr>
                <w:sz w:val="20"/>
              </w:rPr>
              <w:t xml:space="preserve"> </w:t>
            </w:r>
            <w:r w:rsidR="00571851">
              <w:rPr>
                <w:sz w:val="20"/>
              </w:rPr>
              <w:t>Gebäudeunterhaltung</w:t>
            </w:r>
            <w:r w:rsidR="000B78C7">
              <w:rPr>
                <w:sz w:val="20"/>
              </w:rPr>
              <w:t xml:space="preserve"> </w:t>
            </w:r>
          </w:p>
          <w:p w:rsidR="005F5B3D" w:rsidRDefault="000B78C7" w:rsidP="0030686C">
            <w:pPr>
              <w:rPr>
                <w:sz w:val="20"/>
              </w:rPr>
            </w:pPr>
            <w:r>
              <w:rPr>
                <w:sz w:val="20"/>
              </w:rPr>
              <w:t>(Ballspielhallen)</w:t>
            </w:r>
          </w:p>
          <w:p w:rsidR="00C04005" w:rsidRPr="006E0575" w:rsidRDefault="00C04005" w:rsidP="001A2DD5">
            <w:pPr>
              <w:rPr>
                <w:sz w:val="20"/>
              </w:rPr>
            </w:pPr>
          </w:p>
        </w:tc>
        <w:tc>
          <w:tcPr>
            <w:tcW w:w="737" w:type="dxa"/>
            <w:shd w:val="pct12" w:color="auto" w:fill="FFFFFF"/>
          </w:tcPr>
          <w:p w:rsidR="001A2DD5" w:rsidRDefault="001A2DD5" w:rsidP="0030686C">
            <w:pPr>
              <w:rPr>
                <w:sz w:val="20"/>
              </w:rPr>
            </w:pPr>
          </w:p>
          <w:p w:rsidR="00C04005" w:rsidRDefault="00571851" w:rsidP="0030686C">
            <w:pPr>
              <w:rPr>
                <w:sz w:val="20"/>
              </w:rPr>
            </w:pPr>
            <w:r>
              <w:rPr>
                <w:sz w:val="20"/>
              </w:rPr>
              <w:t>0,15</w:t>
            </w:r>
          </w:p>
          <w:p w:rsidR="00C04005" w:rsidRDefault="00C04005" w:rsidP="0030686C">
            <w:pPr>
              <w:rPr>
                <w:sz w:val="20"/>
              </w:rPr>
            </w:pPr>
          </w:p>
          <w:p w:rsidR="00C04005" w:rsidRDefault="00C04005" w:rsidP="0030686C">
            <w:pPr>
              <w:rPr>
                <w:sz w:val="20"/>
              </w:rPr>
            </w:pPr>
          </w:p>
          <w:p w:rsidR="00C04005" w:rsidRDefault="00C04005" w:rsidP="0030686C">
            <w:pPr>
              <w:rPr>
                <w:sz w:val="20"/>
              </w:rPr>
            </w:pPr>
          </w:p>
          <w:p w:rsidR="00C04005" w:rsidRPr="006E0575" w:rsidRDefault="00C04005" w:rsidP="0030686C">
            <w:pPr>
              <w:rPr>
                <w:sz w:val="20"/>
              </w:rPr>
            </w:pPr>
          </w:p>
        </w:tc>
        <w:tc>
          <w:tcPr>
            <w:tcW w:w="1134" w:type="dxa"/>
          </w:tcPr>
          <w:p w:rsidR="005F5B3D" w:rsidRDefault="005F5B3D" w:rsidP="0030686C">
            <w:pPr>
              <w:rPr>
                <w:sz w:val="20"/>
              </w:rPr>
            </w:pPr>
          </w:p>
          <w:p w:rsidR="00C04005" w:rsidRPr="006E0575" w:rsidRDefault="00C04005" w:rsidP="0030686C">
            <w:pPr>
              <w:rPr>
                <w:sz w:val="20"/>
              </w:rPr>
            </w:pPr>
          </w:p>
        </w:tc>
        <w:tc>
          <w:tcPr>
            <w:tcW w:w="1417" w:type="dxa"/>
          </w:tcPr>
          <w:p w:rsidR="00571851" w:rsidRDefault="00571851" w:rsidP="0030686C">
            <w:pPr>
              <w:rPr>
                <w:sz w:val="20"/>
              </w:rPr>
            </w:pPr>
          </w:p>
          <w:p w:rsidR="00571851" w:rsidRPr="006E0575" w:rsidRDefault="00907DC5" w:rsidP="0030686C">
            <w:pPr>
              <w:rPr>
                <w:sz w:val="20"/>
              </w:rPr>
            </w:pPr>
            <w:r>
              <w:rPr>
                <w:sz w:val="20"/>
              </w:rPr>
              <w:t>10.860</w:t>
            </w:r>
            <w:bookmarkStart w:id="0" w:name="_GoBack"/>
            <w:bookmarkEnd w:id="0"/>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C04005" w:rsidRDefault="00C04005" w:rsidP="00884D6C">
      <w:pPr>
        <w:rPr>
          <w:rFonts w:cs="Arial"/>
        </w:rPr>
      </w:pPr>
    </w:p>
    <w:p w:rsidR="003D7B0B" w:rsidRDefault="006F3BA3" w:rsidP="00884D6C">
      <w:r>
        <w:rPr>
          <w:rFonts w:cs="Arial"/>
        </w:rPr>
        <w:t xml:space="preserve">Geschaffen wird </w:t>
      </w:r>
      <w:r w:rsidR="00E473E2">
        <w:rPr>
          <w:rFonts w:cs="Arial"/>
        </w:rPr>
        <w:t>eine 0,15-Stelle in EG 10 f</w:t>
      </w:r>
      <w:r w:rsidR="003C7D46">
        <w:rPr>
          <w:rFonts w:cs="Arial"/>
        </w:rPr>
        <w:t>ür die</w:t>
      </w:r>
      <w:r w:rsidR="003C7D46" w:rsidRPr="00BE344A">
        <w:rPr>
          <w:rFonts w:cs="Arial"/>
        </w:rPr>
        <w:t xml:space="preserve"> </w:t>
      </w:r>
      <w:r w:rsidR="00A12A0D">
        <w:rPr>
          <w:rFonts w:cs="Arial"/>
        </w:rPr>
        <w:t xml:space="preserve">Koordination </w:t>
      </w:r>
      <w:r w:rsidR="00E473E2">
        <w:rPr>
          <w:rFonts w:cs="Arial"/>
        </w:rPr>
        <w:t>und</w:t>
      </w:r>
      <w:r w:rsidR="00737869">
        <w:rPr>
          <w:rFonts w:cs="Arial"/>
        </w:rPr>
        <w:t xml:space="preserve"> </w:t>
      </w:r>
      <w:r w:rsidR="00E473E2">
        <w:rPr>
          <w:rFonts w:cs="Arial"/>
        </w:rPr>
        <w:t>Umsetzung</w:t>
      </w:r>
      <w:r w:rsidR="00737869">
        <w:rPr>
          <w:rFonts w:cs="Arial"/>
        </w:rPr>
        <w:t xml:space="preserve"> der Sanierung der Ballspielhallen </w:t>
      </w:r>
      <w:r w:rsidR="00E473E2">
        <w:rPr>
          <w:rFonts w:cs="Arial"/>
        </w:rPr>
        <w:t xml:space="preserve">im Rahmen des Sanierungskonzepts Ballspielhallen des Amts für Sport und Bewegung. </w:t>
      </w:r>
    </w:p>
    <w:p w:rsidR="003D7B0B" w:rsidRDefault="003D7B0B" w:rsidP="00884D6C">
      <w:pPr>
        <w:pStyle w:val="berschrift1"/>
      </w:pPr>
      <w:r>
        <w:t>2</w:t>
      </w:r>
      <w:r>
        <w:tab/>
        <w:t>Schaffun</w:t>
      </w:r>
      <w:r w:rsidRPr="00884D6C">
        <w:rPr>
          <w:u w:val="none"/>
        </w:rPr>
        <w:t>g</w:t>
      </w:r>
      <w:r>
        <w:t>skriterien</w:t>
      </w:r>
    </w:p>
    <w:p w:rsidR="003D7B0B" w:rsidRDefault="003D7B0B" w:rsidP="00884D6C"/>
    <w:p w:rsidR="006F3BA3" w:rsidRDefault="006F3BA3" w:rsidP="006F3BA3">
      <w:r w:rsidRPr="00F535E7">
        <w:t>Die Schaffung de</w:t>
      </w:r>
      <w:r>
        <w:t xml:space="preserve">s Stelleanteils von 15 % </w:t>
      </w:r>
      <w:r w:rsidRPr="00F535E7">
        <w:t xml:space="preserve">ist in der </w:t>
      </w:r>
      <w:r>
        <w:t>„Grünen Liste“ zum Haushalt 2022</w:t>
      </w:r>
      <w:r w:rsidRPr="00F535E7">
        <w:t xml:space="preserve"> enthalten</w:t>
      </w:r>
      <w:r>
        <w:t>.</w:t>
      </w:r>
    </w:p>
    <w:p w:rsidR="003D7B0B" w:rsidRDefault="003D7B0B" w:rsidP="00884D6C">
      <w:pPr>
        <w:pStyle w:val="berschrift1"/>
      </w:pPr>
      <w:r>
        <w:t>3</w:t>
      </w:r>
      <w:r>
        <w:tab/>
        <w:t>Bedarf</w:t>
      </w:r>
    </w:p>
    <w:p w:rsidR="003D7B0B" w:rsidRDefault="00884D6C" w:rsidP="00884D6C">
      <w:pPr>
        <w:pStyle w:val="berschrift2"/>
      </w:pPr>
      <w:r w:rsidRPr="00884D6C">
        <w:t>3.1</w:t>
      </w:r>
      <w:r w:rsidRPr="00884D6C">
        <w:tab/>
      </w:r>
      <w:r w:rsidR="006E0575" w:rsidRPr="00884D6C">
        <w:t>Anlass</w:t>
      </w:r>
    </w:p>
    <w:p w:rsidR="00E473E2" w:rsidRDefault="00E473E2" w:rsidP="00E473E2">
      <w:pPr>
        <w:rPr>
          <w:rFonts w:cs="Arial"/>
        </w:rPr>
      </w:pPr>
    </w:p>
    <w:p w:rsidR="00E473E2" w:rsidRDefault="00E473E2" w:rsidP="00E473E2">
      <w:pPr>
        <w:ind w:right="-142"/>
        <w:rPr>
          <w:color w:val="000000"/>
        </w:rPr>
      </w:pPr>
      <w:r>
        <w:rPr>
          <w:color w:val="000000"/>
        </w:rPr>
        <w:t>Turn- und Sporthallen gehören zu den zentralen Ressourcen des Vereins-, Breiten-, Leistungs- und Schulsports und sind ein wichtiges Element der laufenden kommunalen Sportentwicklungsplanung. Sie sind das Rückgrat für den Vereinssport und die Basis für die Durchführung des lehrplanmäßigen Sportunterrichts an den Schulen. Die Turn- und Sporthallen in Stuttgart sind durch Schul- und Vereinsnutzung zu 100 % ausgelastet, der tatsächliche Bedarf geht weit darüber hinaus. Aufgrund des bestehenden Sanierungsstaus liegt eine zentrale Herausforderung der Stadt neben dem Neubau vor allem im Erhalt und der Modernisierung des Bestandes ihrer Hallen.</w:t>
      </w:r>
    </w:p>
    <w:p w:rsidR="00E473E2" w:rsidRDefault="00E473E2" w:rsidP="00E473E2">
      <w:pPr>
        <w:ind w:right="-142"/>
        <w:rPr>
          <w:color w:val="000000"/>
        </w:rPr>
      </w:pPr>
    </w:p>
    <w:p w:rsidR="006F3BA3" w:rsidRDefault="00E473E2" w:rsidP="006F3BA3">
      <w:pPr>
        <w:rPr>
          <w:color w:val="000000"/>
        </w:rPr>
      </w:pPr>
      <w:r w:rsidRPr="00E473E2">
        <w:rPr>
          <w:rFonts w:cs="Arial"/>
        </w:rPr>
        <w:t xml:space="preserve">Das Amt für Sport und Bewegung betreibt im Stuttgarter Stadtgebiet insgesamt 8 Ballspielhallen, die basierend auf dem Stuttgarter Ballspielhallenkonzept - ungeachtet der Schulturnhallen - vor allem zur wesentlichen Verbesserung des Wettkampf- und Ligabetriebs beitragen. </w:t>
      </w:r>
      <w:r>
        <w:rPr>
          <w:color w:val="000000"/>
        </w:rPr>
        <w:t>Sechs der</w:t>
      </w:r>
      <w:r w:rsidRPr="005042AA">
        <w:rPr>
          <w:color w:val="000000"/>
        </w:rPr>
        <w:t xml:space="preserve"> vom </w:t>
      </w:r>
      <w:r w:rsidR="00DF10EC">
        <w:rPr>
          <w:color w:val="000000"/>
        </w:rPr>
        <w:t>Amt für Sport und Bewegung</w:t>
      </w:r>
      <w:r w:rsidRPr="005042AA">
        <w:rPr>
          <w:color w:val="000000"/>
        </w:rPr>
        <w:t xml:space="preserve"> betriebenen Ballspielhallen sind mittlerweile bis zu </w:t>
      </w:r>
      <w:r>
        <w:rPr>
          <w:color w:val="000000"/>
        </w:rPr>
        <w:t>30 Jahre alt</w:t>
      </w:r>
      <w:r w:rsidR="006F3BA3">
        <w:rPr>
          <w:color w:val="000000"/>
        </w:rPr>
        <w:t xml:space="preserve">. </w:t>
      </w:r>
    </w:p>
    <w:p w:rsidR="003D7B0B" w:rsidRPr="00165C0D" w:rsidRDefault="003D7B0B" w:rsidP="00165C0D">
      <w:pPr>
        <w:pStyle w:val="berschrift2"/>
      </w:pPr>
      <w:r w:rsidRPr="00165C0D">
        <w:lastRenderedPageBreak/>
        <w:t>3.2</w:t>
      </w:r>
      <w:r w:rsidRPr="00165C0D">
        <w:tab/>
        <w:t>Bisherige Aufgabenwahrnehmung</w:t>
      </w:r>
    </w:p>
    <w:p w:rsidR="003D7B0B" w:rsidRDefault="003D7B0B" w:rsidP="00884D6C"/>
    <w:p w:rsidR="006F3BA3" w:rsidRDefault="006F3BA3" w:rsidP="006F3BA3">
      <w:pPr>
        <w:rPr>
          <w:color w:val="000000"/>
        </w:rPr>
      </w:pPr>
      <w:r>
        <w:rPr>
          <w:color w:val="000000"/>
        </w:rPr>
        <w:t xml:space="preserve">Um eine dauerhafte und nachhaltige Nutzbarkeit der Hallen gewährleisten zu können, ist es kurz- und mittelfristig erforderlich, die Hallen grundlegend baulich und energetisch zu sanieren. Der Sanierungsbedarf und dessen Zeitrahmen wurde vom Hochbauamt (baulich) und Amt für Umweltschutz (energetisch) ermittelt und ein entsprechendes Sanierungskonzept erarbeitet. </w:t>
      </w:r>
    </w:p>
    <w:p w:rsidR="006F3BA3" w:rsidRDefault="006F3BA3" w:rsidP="006F3BA3">
      <w:pPr>
        <w:ind w:right="-142"/>
        <w:rPr>
          <w:color w:val="000000"/>
        </w:rPr>
      </w:pPr>
    </w:p>
    <w:p w:rsidR="006F3BA3" w:rsidRDefault="006F3BA3" w:rsidP="006F3BA3">
      <w:pPr>
        <w:ind w:right="-142"/>
      </w:pPr>
      <w:r>
        <w:rPr>
          <w:color w:val="000000"/>
        </w:rPr>
        <w:t>Demnach soll pro Doppelhaushalt, beginnend mit dem DHH 2022/2023, jeweils eine Ballspielhalle umfassend saniert werden. Geplant ist, mit der Ballspielhalle in Botnang zu beginnen. Der dafür benötigte Finanzbedarf beläuft sich auf insgesamt 4 Mio. Euro. Die Mittel dafür werden im Rahmen der Haushaltsplanaufstellung zum DHH 2022/2023 beantragt.</w:t>
      </w:r>
    </w:p>
    <w:p w:rsidR="006F3BA3" w:rsidRDefault="006F3BA3" w:rsidP="006F3BA3">
      <w:pPr>
        <w:rPr>
          <w:rFonts w:cs="Arial"/>
        </w:rPr>
      </w:pPr>
    </w:p>
    <w:p w:rsidR="003D7B0B" w:rsidRDefault="006F3BA3" w:rsidP="006F3BA3">
      <w:pPr>
        <w:rPr>
          <w:rFonts w:cs="Arial"/>
        </w:rPr>
      </w:pPr>
      <w:r>
        <w:rPr>
          <w:rFonts w:cs="Arial"/>
        </w:rPr>
        <w:t>Die anstehenden Sanierungen der Ballspielhallen ziehen nicht nur erhebliche finanzielle</w:t>
      </w:r>
      <w:r w:rsidR="00AA504C">
        <w:rPr>
          <w:rFonts w:cs="Arial"/>
        </w:rPr>
        <w:t>,</w:t>
      </w:r>
      <w:r>
        <w:rPr>
          <w:rFonts w:cs="Arial"/>
        </w:rPr>
        <w:t xml:space="preserve"> sondern auch personelle Aufwendungen nach sich. </w:t>
      </w:r>
    </w:p>
    <w:p w:rsidR="006F3BA3" w:rsidRDefault="006F3BA3" w:rsidP="006F3BA3"/>
    <w:p w:rsidR="003D7B0B" w:rsidRDefault="006E0575" w:rsidP="00884D6C">
      <w:pPr>
        <w:pStyle w:val="berschrift2"/>
      </w:pPr>
      <w:r>
        <w:t>3.3</w:t>
      </w:r>
      <w:r w:rsidR="003D7B0B">
        <w:tab/>
        <w:t>Auswirkungen bei Ablehnung der Stellenschaffungen</w:t>
      </w:r>
    </w:p>
    <w:p w:rsidR="003D7B0B" w:rsidRDefault="003D7B0B" w:rsidP="00884D6C"/>
    <w:p w:rsidR="003D7B0B" w:rsidRDefault="00A12A0D" w:rsidP="00884D6C">
      <w:r>
        <w:rPr>
          <w:rFonts w:cs="Arial"/>
        </w:rPr>
        <w:t xml:space="preserve">Die </w:t>
      </w:r>
      <w:r w:rsidR="00E20C95">
        <w:rPr>
          <w:rFonts w:cs="Arial"/>
        </w:rPr>
        <w:t>Umsetzung des Sanierungskonzepts Ballspielhallen</w:t>
      </w:r>
      <w:r>
        <w:rPr>
          <w:rFonts w:cs="Arial"/>
        </w:rPr>
        <w:t xml:space="preserve"> ist ohne Bereitstellung der erforderlichen Stellenanteile nicht möglich</w:t>
      </w:r>
      <w:r w:rsidR="00FF29F1">
        <w:rPr>
          <w:rFonts w:cs="Arial"/>
        </w:rPr>
        <w:t xml:space="preserve">. </w:t>
      </w:r>
    </w:p>
    <w:p w:rsidR="003D7B0B" w:rsidRDefault="00884D6C" w:rsidP="00884D6C">
      <w:pPr>
        <w:pStyle w:val="berschrift1"/>
      </w:pPr>
      <w:r>
        <w:t>4</w:t>
      </w:r>
      <w:r>
        <w:tab/>
      </w:r>
      <w:r w:rsidR="003D7B0B">
        <w:t>Stellenvermerke</w:t>
      </w:r>
    </w:p>
    <w:p w:rsidR="003D7B0B" w:rsidRDefault="003D7B0B" w:rsidP="00884D6C"/>
    <w:p w:rsidR="00DE362D" w:rsidRDefault="006F3BA3"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AEC" w:rsidRDefault="000D4AEC">
      <w:r>
        <w:separator/>
      </w:r>
    </w:p>
  </w:endnote>
  <w:endnote w:type="continuationSeparator" w:id="0">
    <w:p w:rsidR="000D4AEC" w:rsidRDefault="000D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AEC" w:rsidRDefault="000D4AEC">
      <w:r>
        <w:separator/>
      </w:r>
    </w:p>
  </w:footnote>
  <w:footnote w:type="continuationSeparator" w:id="0">
    <w:p w:rsidR="000D4AEC" w:rsidRDefault="000D4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907DC5">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4A0505D"/>
    <w:multiLevelType w:val="hybridMultilevel"/>
    <w:tmpl w:val="6EEE1A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4C5C2C4E"/>
    <w:multiLevelType w:val="hybridMultilevel"/>
    <w:tmpl w:val="DF741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EC"/>
    <w:rsid w:val="00055758"/>
    <w:rsid w:val="000A1146"/>
    <w:rsid w:val="000B1ED5"/>
    <w:rsid w:val="000B78C7"/>
    <w:rsid w:val="000C0CB4"/>
    <w:rsid w:val="000D4AEC"/>
    <w:rsid w:val="001034AF"/>
    <w:rsid w:val="0011112B"/>
    <w:rsid w:val="0014415D"/>
    <w:rsid w:val="00151488"/>
    <w:rsid w:val="00163034"/>
    <w:rsid w:val="00164678"/>
    <w:rsid w:val="00165C0D"/>
    <w:rsid w:val="00181857"/>
    <w:rsid w:val="00184EDC"/>
    <w:rsid w:val="00194770"/>
    <w:rsid w:val="001A2DD5"/>
    <w:rsid w:val="001A5F9B"/>
    <w:rsid w:val="001F7237"/>
    <w:rsid w:val="001F7C1F"/>
    <w:rsid w:val="00253F40"/>
    <w:rsid w:val="002924CB"/>
    <w:rsid w:val="002A20D1"/>
    <w:rsid w:val="002A4DE3"/>
    <w:rsid w:val="002B5955"/>
    <w:rsid w:val="00304CDC"/>
    <w:rsid w:val="0030686C"/>
    <w:rsid w:val="00380937"/>
    <w:rsid w:val="00395AFD"/>
    <w:rsid w:val="00397717"/>
    <w:rsid w:val="003C7D46"/>
    <w:rsid w:val="003D7B0B"/>
    <w:rsid w:val="003F0FAA"/>
    <w:rsid w:val="00416EEA"/>
    <w:rsid w:val="00470135"/>
    <w:rsid w:val="0047606A"/>
    <w:rsid w:val="004908B5"/>
    <w:rsid w:val="0049121B"/>
    <w:rsid w:val="004A1688"/>
    <w:rsid w:val="004B6796"/>
    <w:rsid w:val="005075B5"/>
    <w:rsid w:val="00571851"/>
    <w:rsid w:val="005723C1"/>
    <w:rsid w:val="005A0A9D"/>
    <w:rsid w:val="005A56AA"/>
    <w:rsid w:val="005E19C6"/>
    <w:rsid w:val="005E4114"/>
    <w:rsid w:val="005F5B3D"/>
    <w:rsid w:val="00606F80"/>
    <w:rsid w:val="006213D0"/>
    <w:rsid w:val="00622CC7"/>
    <w:rsid w:val="00654A38"/>
    <w:rsid w:val="006A406B"/>
    <w:rsid w:val="006B6D50"/>
    <w:rsid w:val="006E0575"/>
    <w:rsid w:val="006E3648"/>
    <w:rsid w:val="006F3BA3"/>
    <w:rsid w:val="007117C2"/>
    <w:rsid w:val="0072799A"/>
    <w:rsid w:val="00737869"/>
    <w:rsid w:val="00754659"/>
    <w:rsid w:val="00763670"/>
    <w:rsid w:val="007C01F8"/>
    <w:rsid w:val="007E3B79"/>
    <w:rsid w:val="007F78D7"/>
    <w:rsid w:val="008066EE"/>
    <w:rsid w:val="00817BB6"/>
    <w:rsid w:val="00884D6C"/>
    <w:rsid w:val="008B3F4E"/>
    <w:rsid w:val="008B43F3"/>
    <w:rsid w:val="008D29AC"/>
    <w:rsid w:val="00907DC5"/>
    <w:rsid w:val="00920F00"/>
    <w:rsid w:val="009373F6"/>
    <w:rsid w:val="00976588"/>
    <w:rsid w:val="00A12A0D"/>
    <w:rsid w:val="00A27CA7"/>
    <w:rsid w:val="00A45B30"/>
    <w:rsid w:val="00A71D0A"/>
    <w:rsid w:val="00A77F1E"/>
    <w:rsid w:val="00A847C4"/>
    <w:rsid w:val="00AA504C"/>
    <w:rsid w:val="00AB389D"/>
    <w:rsid w:val="00AE7B02"/>
    <w:rsid w:val="00AF0DEA"/>
    <w:rsid w:val="00AF25E0"/>
    <w:rsid w:val="00B04290"/>
    <w:rsid w:val="00B80DEF"/>
    <w:rsid w:val="00B86756"/>
    <w:rsid w:val="00B86BB5"/>
    <w:rsid w:val="00B91903"/>
    <w:rsid w:val="00BC4669"/>
    <w:rsid w:val="00C04005"/>
    <w:rsid w:val="00C16EF1"/>
    <w:rsid w:val="00C448D3"/>
    <w:rsid w:val="00C56EF2"/>
    <w:rsid w:val="00C64505"/>
    <w:rsid w:val="00C65A77"/>
    <w:rsid w:val="00C906FB"/>
    <w:rsid w:val="00CB163D"/>
    <w:rsid w:val="00CD5205"/>
    <w:rsid w:val="00CF62E5"/>
    <w:rsid w:val="00D66D3A"/>
    <w:rsid w:val="00D743D4"/>
    <w:rsid w:val="00DB3D6C"/>
    <w:rsid w:val="00DE362D"/>
    <w:rsid w:val="00DF10EC"/>
    <w:rsid w:val="00E014B6"/>
    <w:rsid w:val="00E1162F"/>
    <w:rsid w:val="00E11D5F"/>
    <w:rsid w:val="00E20C95"/>
    <w:rsid w:val="00E20E1F"/>
    <w:rsid w:val="00E42F96"/>
    <w:rsid w:val="00E473E2"/>
    <w:rsid w:val="00E7118F"/>
    <w:rsid w:val="00EA7B3C"/>
    <w:rsid w:val="00F27657"/>
    <w:rsid w:val="00F342DC"/>
    <w:rsid w:val="00F56F93"/>
    <w:rsid w:val="00F63041"/>
    <w:rsid w:val="00F76452"/>
    <w:rsid w:val="00FC7D6E"/>
    <w:rsid w:val="00FD6B46"/>
    <w:rsid w:val="00FF29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866A2"/>
  <w15:docId w15:val="{6C33708F-641B-480F-B5E1-27F542FB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Textkrper-Zeileneinzug">
    <w:name w:val="Body Text Indent"/>
    <w:basedOn w:val="Standard"/>
    <w:link w:val="Textkrper-ZeileneinzugZchn"/>
    <w:semiHidden/>
    <w:rsid w:val="00B86756"/>
    <w:pPr>
      <w:tabs>
        <w:tab w:val="left" w:pos="1701"/>
        <w:tab w:val="left" w:pos="3402"/>
      </w:tabs>
      <w:ind w:left="567"/>
      <w:jc w:val="both"/>
    </w:pPr>
    <w:rPr>
      <w:szCs w:val="20"/>
    </w:rPr>
  </w:style>
  <w:style w:type="character" w:customStyle="1" w:styleId="Textkrper-ZeileneinzugZchn">
    <w:name w:val="Textkörper-Zeileneinzug Zchn"/>
    <w:basedOn w:val="Absatz-Standardschriftart"/>
    <w:link w:val="Textkrper-Zeileneinzug"/>
    <w:semiHidden/>
    <w:rsid w:val="00B86756"/>
    <w:rPr>
      <w:szCs w:val="20"/>
    </w:rPr>
  </w:style>
  <w:style w:type="paragraph" w:styleId="Listenabsatz">
    <w:name w:val="List Paragraph"/>
    <w:basedOn w:val="Standard"/>
    <w:uiPriority w:val="34"/>
    <w:qFormat/>
    <w:rsid w:val="00E473E2"/>
    <w:pPr>
      <w:ind w:left="708"/>
    </w:pPr>
    <w:rPr>
      <w:rFonts w:ascii="Times New Roman" w:hAnsi="Times New Roman"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Hiller, Sybille</dc:creator>
  <cp:lastModifiedBy>Baumann, Gerhard</cp:lastModifiedBy>
  <cp:revision>7</cp:revision>
  <cp:lastPrinted>2021-09-30T10:59:00Z</cp:lastPrinted>
  <dcterms:created xsi:type="dcterms:W3CDTF">2021-09-14T14:05:00Z</dcterms:created>
  <dcterms:modified xsi:type="dcterms:W3CDTF">2021-09-30T10:59:00Z</dcterms:modified>
</cp:coreProperties>
</file>