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5E50F9">
        <w:t>20</w:t>
      </w:r>
      <w:r w:rsidRPr="006E0575">
        <w:t xml:space="preserve"> zur GRDrs </w:t>
      </w:r>
      <w:r w:rsidR="005E50F9">
        <w:t>705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625647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0D4DBD" w:rsidRDefault="00F37909" w:rsidP="0030686C">
            <w:pPr>
              <w:rPr>
                <w:sz w:val="20"/>
              </w:rPr>
            </w:pPr>
            <w:r w:rsidRPr="00074960">
              <w:rPr>
                <w:sz w:val="20"/>
              </w:rPr>
              <w:t>50</w:t>
            </w:r>
            <w:r w:rsidR="00C31432" w:rsidRPr="00074960">
              <w:rPr>
                <w:sz w:val="20"/>
              </w:rPr>
              <w:t>-2</w:t>
            </w:r>
            <w:r w:rsidR="00074960">
              <w:rPr>
                <w:sz w:val="20"/>
              </w:rPr>
              <w:t xml:space="preserve"> </w:t>
            </w:r>
            <w:r w:rsidR="00074960" w:rsidRPr="000D4DBD">
              <w:rPr>
                <w:sz w:val="20"/>
              </w:rPr>
              <w:t>+ 15</w:t>
            </w:r>
          </w:p>
          <w:p w:rsidR="0011112B" w:rsidRPr="000D4DBD" w:rsidRDefault="0011112B" w:rsidP="0030686C">
            <w:pPr>
              <w:rPr>
                <w:sz w:val="20"/>
              </w:rPr>
            </w:pPr>
          </w:p>
          <w:p w:rsidR="005F5B3D" w:rsidRDefault="00C31432" w:rsidP="0030686C">
            <w:pPr>
              <w:rPr>
                <w:sz w:val="20"/>
              </w:rPr>
            </w:pPr>
            <w:r>
              <w:rPr>
                <w:sz w:val="20"/>
              </w:rPr>
              <w:t>5020 5040/</w:t>
            </w:r>
          </w:p>
          <w:p w:rsidR="00C31432" w:rsidRPr="006E0575" w:rsidRDefault="00C31432" w:rsidP="0030686C">
            <w:pPr>
              <w:rPr>
                <w:sz w:val="20"/>
              </w:rPr>
            </w:pPr>
            <w:r>
              <w:rPr>
                <w:sz w:val="20"/>
              </w:rPr>
              <w:t>5020 5010</w:t>
            </w:r>
            <w:r w:rsidR="00074960">
              <w:rPr>
                <w:sz w:val="20"/>
              </w:rPr>
              <w:t xml:space="preserve"> </w:t>
            </w:r>
            <w:r w:rsidR="00074960" w:rsidRPr="000D4DBD">
              <w:rPr>
                <w:sz w:val="20"/>
              </w:rPr>
              <w:t>+ 15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F17F88" w:rsidP="00F17F88">
            <w:pPr>
              <w:rPr>
                <w:sz w:val="20"/>
              </w:rPr>
            </w:pPr>
            <w:r>
              <w:rPr>
                <w:sz w:val="20"/>
              </w:rPr>
              <w:t>Sozialamt/</w:t>
            </w:r>
            <w:r>
              <w:rPr>
                <w:sz w:val="20"/>
              </w:rPr>
              <w:br/>
              <w:t>Bezirksämter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283916" w:rsidRDefault="00F17F88" w:rsidP="0030686C">
            <w:pPr>
              <w:rPr>
                <w:sz w:val="20"/>
              </w:rPr>
            </w:pPr>
            <w:r>
              <w:rPr>
                <w:sz w:val="20"/>
              </w:rPr>
              <w:t>A 10</w:t>
            </w:r>
          </w:p>
          <w:p w:rsidR="005F5B3D" w:rsidRPr="006E0575" w:rsidRDefault="00F17F88" w:rsidP="0030686C">
            <w:pPr>
              <w:rPr>
                <w:sz w:val="20"/>
              </w:rPr>
            </w:pPr>
            <w:r>
              <w:rPr>
                <w:sz w:val="20"/>
              </w:rPr>
              <w:br/>
              <w:t>A</w:t>
            </w:r>
            <w:r w:rsidR="00A977C4">
              <w:rPr>
                <w:sz w:val="20"/>
              </w:rPr>
              <w:t xml:space="preserve"> </w:t>
            </w:r>
            <w:r w:rsidR="00AC4233">
              <w:rPr>
                <w:sz w:val="20"/>
              </w:rPr>
              <w:t>10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DD3551" w:rsidRDefault="00A446AB" w:rsidP="0030686C">
            <w:pPr>
              <w:rPr>
                <w:sz w:val="20"/>
              </w:rPr>
            </w:pPr>
            <w:r>
              <w:rPr>
                <w:sz w:val="20"/>
              </w:rPr>
              <w:t>Sachbearbeiter/-</w:t>
            </w:r>
            <w:r w:rsidR="00F17F88">
              <w:rPr>
                <w:sz w:val="20"/>
              </w:rPr>
              <w:t>in</w:t>
            </w:r>
          </w:p>
          <w:p w:rsidR="00A446AB" w:rsidRDefault="00F17F88" w:rsidP="0030686C">
            <w:pPr>
              <w:rPr>
                <w:sz w:val="20"/>
              </w:rPr>
            </w:pPr>
            <w:r>
              <w:rPr>
                <w:sz w:val="20"/>
              </w:rPr>
              <w:br/>
              <w:t>Ste</w:t>
            </w:r>
            <w:r w:rsidR="00A446AB">
              <w:rPr>
                <w:sz w:val="20"/>
              </w:rPr>
              <w:t>llvertretende Sachgebietsleiter/</w:t>
            </w:r>
          </w:p>
          <w:p w:rsidR="005F5B3D" w:rsidRPr="006E0575" w:rsidRDefault="00A446AB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F17F88">
              <w:rPr>
                <w:sz w:val="20"/>
              </w:rPr>
              <w:t>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9E08BC" w:rsidRPr="00B044B7" w:rsidRDefault="00F17F88" w:rsidP="0030686C">
            <w:pPr>
              <w:rPr>
                <w:sz w:val="20"/>
              </w:rPr>
            </w:pPr>
            <w:r w:rsidRPr="00B044B7">
              <w:rPr>
                <w:sz w:val="20"/>
              </w:rPr>
              <w:t>1,0</w:t>
            </w:r>
            <w:r w:rsidR="00AC4233" w:rsidRPr="00B044B7">
              <w:rPr>
                <w:sz w:val="20"/>
              </w:rPr>
              <w:t>6</w:t>
            </w:r>
          </w:p>
          <w:p w:rsidR="00DD3551" w:rsidRDefault="00DD3551" w:rsidP="0030686C">
            <w:pPr>
              <w:rPr>
                <w:sz w:val="20"/>
              </w:rPr>
            </w:pPr>
          </w:p>
          <w:p w:rsidR="00F17F88" w:rsidRPr="006E0575" w:rsidRDefault="00F17F88" w:rsidP="0030686C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  <w:r w:rsidR="000963B5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2799A" w:rsidP="00306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90D6F">
              <w:rPr>
                <w:noProof/>
                <w:sz w:val="20"/>
              </w:rPr>
              <w:t> </w:t>
            </w:r>
            <w:r w:rsidR="00390D6F">
              <w:rPr>
                <w:noProof/>
                <w:sz w:val="20"/>
              </w:rPr>
              <w:t> </w:t>
            </w:r>
            <w:r w:rsidR="00390D6F">
              <w:rPr>
                <w:noProof/>
                <w:sz w:val="20"/>
              </w:rPr>
              <w:t> </w:t>
            </w:r>
            <w:r w:rsidR="00390D6F">
              <w:rPr>
                <w:noProof/>
                <w:sz w:val="20"/>
              </w:rPr>
              <w:t> </w:t>
            </w:r>
            <w:r w:rsidR="00390D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E50F9" w:rsidP="0030686C">
            <w:pPr>
              <w:rPr>
                <w:sz w:val="20"/>
              </w:rPr>
            </w:pPr>
            <w:r>
              <w:rPr>
                <w:sz w:val="20"/>
              </w:rPr>
              <w:t>272.340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AC4233" w:rsidRDefault="005E50F9" w:rsidP="00A977C4">
      <w:r>
        <w:t>Geschaffen werden</w:t>
      </w:r>
      <w:r w:rsidR="007F54EB">
        <w:t xml:space="preserve"> </w:t>
      </w:r>
      <w:r w:rsidR="00AC4233">
        <w:t xml:space="preserve">insgesamt </w:t>
      </w:r>
      <w:r w:rsidR="007F54EB">
        <w:t>3,0</w:t>
      </w:r>
      <w:r w:rsidR="00AC4233">
        <w:t>6 S</w:t>
      </w:r>
      <w:r w:rsidR="007F54EB">
        <w:t>tellen für die Sozialhilfesachbearbeitung beim Sozialamt und bei den Bezirksämtern.</w:t>
      </w:r>
      <w:r w:rsidR="00A977C4">
        <w:t xml:space="preserve">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AC4233" w:rsidRDefault="00AC4233" w:rsidP="00884D6C">
      <w:r>
        <w:t xml:space="preserve">Das Kriterium der Aufgabenvermehrung konnte im Umfang von </w:t>
      </w:r>
      <w:r w:rsidRPr="00B044B7">
        <w:t>3,06</w:t>
      </w:r>
      <w:r w:rsidR="00B044B7">
        <w:t xml:space="preserve"> </w:t>
      </w:r>
      <w:r>
        <w:t>Stellen nachgewiesen werden.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Default="003D7B0B" w:rsidP="00884D6C"/>
    <w:p w:rsidR="00AC4233" w:rsidRPr="00A6699E" w:rsidRDefault="00AC4233" w:rsidP="00AC4233">
      <w:r w:rsidRPr="00A6699E">
        <w:t>Mit der GRDrs</w:t>
      </w:r>
      <w:r w:rsidR="00A446AB">
        <w:t>.</w:t>
      </w:r>
      <w:r w:rsidRPr="00A6699E">
        <w:t xml:space="preserve"> 254/2011 - “Stellenbemessung in der Sozialhilfe (Abschluss)“ - hat der Verwaltungsausschuss vom Ergebnis der Stellenbemessung in der Sozialhilfe und den damit verbundenen Fallzahlenschlüsseln Kenntnis genommen.</w:t>
      </w:r>
      <w:r>
        <w:t xml:space="preserve"> Die Fortschreibung der Stellenbemessung ergibt einen Stellenmehrbedarf </w:t>
      </w:r>
      <w:r w:rsidR="00433190">
        <w:t xml:space="preserve">im Umfang von 3,06 Stellen </w:t>
      </w:r>
      <w:r>
        <w:t xml:space="preserve">für die Sozialhilfedienststellen </w:t>
      </w:r>
      <w:r w:rsidR="00F32EAA">
        <w:t>der Abteilung Sozialhilfeleistungen (</w:t>
      </w:r>
      <w:r w:rsidR="0092278F">
        <w:rPr>
          <w:noProof/>
          <w:szCs w:val="22"/>
        </w:rPr>
        <w:t>50-2</w:t>
      </w:r>
      <w:r w:rsidR="00F32EAA">
        <w:rPr>
          <w:noProof/>
          <w:szCs w:val="22"/>
        </w:rPr>
        <w:t>)</w:t>
      </w:r>
      <w:r w:rsidR="007521EA">
        <w:rPr>
          <w:noProof/>
          <w:szCs w:val="22"/>
        </w:rPr>
        <w:t xml:space="preserve"> und die Bezirkämter</w:t>
      </w:r>
      <w:r w:rsidR="0092278F">
        <w:rPr>
          <w:noProof/>
          <w:szCs w:val="22"/>
        </w:rPr>
        <w:t xml:space="preserve"> ohne die Dienststellen 50-27</w:t>
      </w:r>
      <w:r w:rsidR="00390D6F">
        <w:rPr>
          <w:noProof/>
          <w:szCs w:val="22"/>
        </w:rPr>
        <w:t>0</w:t>
      </w:r>
      <w:r w:rsidR="0092278F">
        <w:rPr>
          <w:noProof/>
          <w:szCs w:val="22"/>
        </w:rPr>
        <w:t xml:space="preserve"> (Leistungen nach dem Asylbewerberleistungsgesetz), die aufgrund der in diesem Bereich vorhandenen Eigendynamik aus dem allgemeinen Stellenbemessungsverfahren abgekoppelt sind.</w:t>
      </w:r>
      <w:r>
        <w:t xml:space="preserve"> </w:t>
      </w:r>
    </w:p>
    <w:p w:rsidR="00AC4233" w:rsidRDefault="00AC4233" w:rsidP="00884D6C"/>
    <w:p w:rsidR="00433190" w:rsidRPr="00165C0D" w:rsidRDefault="00433190" w:rsidP="00433190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433190" w:rsidRDefault="00433190" w:rsidP="00433190"/>
    <w:p w:rsidR="00433190" w:rsidRDefault="00433190" w:rsidP="00884D6C">
      <w:r>
        <w:t xml:space="preserve">Für die Sozialhilfesachbearbeitung beim Sozialamt und den Bezirksämtern stehen derzeit 103,43 Stellen zur Verfügung. Die Fortschreibung der Stellenbemessung ergibt einen Stellenbedarf von </w:t>
      </w:r>
      <w:r w:rsidRPr="00074960">
        <w:t>106,49</w:t>
      </w:r>
      <w:r>
        <w:t xml:space="preserve"> Stellen.</w:t>
      </w:r>
    </w:p>
    <w:p w:rsidR="007521EA" w:rsidRDefault="007521EA" w:rsidP="00884D6C"/>
    <w:p w:rsidR="00A446AB" w:rsidRPr="00A446AB" w:rsidRDefault="00433190" w:rsidP="00A446AB">
      <w:pPr>
        <w:ind w:right="85"/>
        <w:rPr>
          <w:noProof/>
          <w:szCs w:val="22"/>
        </w:rPr>
      </w:pPr>
      <w:r>
        <w:rPr>
          <w:noProof/>
          <w:szCs w:val="22"/>
        </w:rPr>
        <w:lastRenderedPageBreak/>
        <w:t>Derzeit vertreten sich die L</w:t>
      </w:r>
      <w:r w:rsidR="000C290B">
        <w:rPr>
          <w:noProof/>
          <w:szCs w:val="22"/>
        </w:rPr>
        <w:t xml:space="preserve">eitungen </w:t>
      </w:r>
      <w:r>
        <w:rPr>
          <w:noProof/>
          <w:szCs w:val="22"/>
        </w:rPr>
        <w:t xml:space="preserve">der beiden Diensstellen Christophstr./Bebelstraße gegenseitig. </w:t>
      </w:r>
      <w:r w:rsidR="00F32EAA" w:rsidRPr="00DD3551">
        <w:rPr>
          <w:noProof/>
          <w:szCs w:val="22"/>
        </w:rPr>
        <w:t>Die räumliche Trennung der beiden Dienststellen</w:t>
      </w:r>
      <w:r w:rsidR="007521EA">
        <w:rPr>
          <w:noProof/>
          <w:szCs w:val="22"/>
        </w:rPr>
        <w:t>,</w:t>
      </w:r>
      <w:r w:rsidR="00F32EAA" w:rsidRPr="00DD3551">
        <w:rPr>
          <w:noProof/>
          <w:szCs w:val="22"/>
        </w:rPr>
        <w:t xml:space="preserve"> </w:t>
      </w:r>
      <w:r w:rsidR="00F32EAA" w:rsidRPr="00DD3551">
        <w:t xml:space="preserve">verbunden mit der </w:t>
      </w:r>
      <w:r w:rsidR="00F32EAA" w:rsidRPr="00DD3551">
        <w:rPr>
          <w:noProof/>
          <w:szCs w:val="22"/>
        </w:rPr>
        <w:t>hohen Leitungsspanne</w:t>
      </w:r>
      <w:r w:rsidR="007521EA">
        <w:rPr>
          <w:noProof/>
          <w:szCs w:val="22"/>
        </w:rPr>
        <w:t>,</w:t>
      </w:r>
      <w:r w:rsidR="00F32EAA" w:rsidRPr="00DD3551">
        <w:rPr>
          <w:noProof/>
          <w:szCs w:val="22"/>
        </w:rPr>
        <w:t xml:space="preserve"> erfordert eine </w:t>
      </w:r>
      <w:r>
        <w:rPr>
          <w:noProof/>
          <w:szCs w:val="22"/>
        </w:rPr>
        <w:t>Entlastung der Führungskräfte</w:t>
      </w:r>
      <w:r w:rsidR="007521EA">
        <w:rPr>
          <w:noProof/>
          <w:szCs w:val="22"/>
        </w:rPr>
        <w:t xml:space="preserve"> direkt vor Ort</w:t>
      </w:r>
      <w:r w:rsidR="00F32EAA" w:rsidRPr="00DD3551">
        <w:rPr>
          <w:noProof/>
          <w:szCs w:val="22"/>
        </w:rPr>
        <w:t>.</w:t>
      </w:r>
      <w:r w:rsidR="007521EA">
        <w:rPr>
          <w:noProof/>
          <w:szCs w:val="22"/>
        </w:rPr>
        <w:t xml:space="preserve"> </w:t>
      </w:r>
      <w:r>
        <w:rPr>
          <w:noProof/>
          <w:szCs w:val="22"/>
        </w:rPr>
        <w:t>A</w:t>
      </w:r>
      <w:r w:rsidR="00F32EAA" w:rsidRPr="00DD3551">
        <w:rPr>
          <w:noProof/>
          <w:szCs w:val="22"/>
        </w:rPr>
        <w:t xml:space="preserve">ufgrund des Zieles der Bürgernähe sowie der schwierigen Unterbringung </w:t>
      </w:r>
      <w:r>
        <w:rPr>
          <w:noProof/>
          <w:szCs w:val="22"/>
        </w:rPr>
        <w:t>soll keine weitere</w:t>
      </w:r>
      <w:r w:rsidR="00F32EAA" w:rsidRPr="00DD3551">
        <w:rPr>
          <w:noProof/>
          <w:szCs w:val="22"/>
        </w:rPr>
        <w:t xml:space="preserve"> Dienststelle</w:t>
      </w:r>
      <w:r>
        <w:rPr>
          <w:noProof/>
          <w:szCs w:val="22"/>
        </w:rPr>
        <w:t>, sondern eine S</w:t>
      </w:r>
      <w:r w:rsidR="000C290B">
        <w:rPr>
          <w:noProof/>
          <w:szCs w:val="22"/>
        </w:rPr>
        <w:t>tel</w:t>
      </w:r>
      <w:r>
        <w:rPr>
          <w:noProof/>
          <w:szCs w:val="22"/>
        </w:rPr>
        <w:t>lvertretung</w:t>
      </w:r>
      <w:r w:rsidR="000C290B">
        <w:rPr>
          <w:noProof/>
          <w:szCs w:val="22"/>
        </w:rPr>
        <w:t xml:space="preserve"> </w:t>
      </w:r>
      <w:r w:rsidR="00F32EAA" w:rsidRPr="00DD3551">
        <w:rPr>
          <w:noProof/>
          <w:szCs w:val="22"/>
        </w:rPr>
        <w:t>e</w:t>
      </w:r>
      <w:r w:rsidR="000C290B">
        <w:rPr>
          <w:noProof/>
          <w:szCs w:val="22"/>
        </w:rPr>
        <w:t>ingerichtet werden,</w:t>
      </w:r>
      <w:r w:rsidR="00F32EAA" w:rsidRPr="00DD3551">
        <w:rPr>
          <w:noProof/>
          <w:szCs w:val="22"/>
        </w:rPr>
        <w:t xml:space="preserve"> die die Führungskraft vor Ort vertritt und durch die Übernahme von Fallberatung </w:t>
      </w:r>
      <w:r w:rsidR="007521EA">
        <w:rPr>
          <w:noProof/>
          <w:szCs w:val="22"/>
        </w:rPr>
        <w:t xml:space="preserve">die Dienststellenleitungen </w:t>
      </w:r>
      <w:r w:rsidR="00F32EAA" w:rsidRPr="00DD3551">
        <w:rPr>
          <w:noProof/>
          <w:szCs w:val="22"/>
        </w:rPr>
        <w:t>ständig entlastet</w:t>
      </w:r>
      <w:r w:rsidR="000C290B">
        <w:rPr>
          <w:noProof/>
          <w:szCs w:val="22"/>
        </w:rPr>
        <w:t>. D</w:t>
      </w:r>
      <w:r w:rsidR="00F32EAA" w:rsidRPr="00DD3551">
        <w:rPr>
          <w:noProof/>
          <w:szCs w:val="22"/>
        </w:rPr>
        <w:t xml:space="preserve">ie Fallberatung </w:t>
      </w:r>
      <w:r w:rsidR="000C290B">
        <w:rPr>
          <w:noProof/>
          <w:szCs w:val="22"/>
        </w:rPr>
        <w:t xml:space="preserve">ist </w:t>
      </w:r>
      <w:r w:rsidR="00F32EAA" w:rsidRPr="00DD3551">
        <w:rPr>
          <w:noProof/>
          <w:szCs w:val="22"/>
        </w:rPr>
        <w:t>im Gegensatz zur Dienststellenleitung</w:t>
      </w:r>
      <w:r w:rsidR="000C290B">
        <w:rPr>
          <w:noProof/>
          <w:szCs w:val="22"/>
        </w:rPr>
        <w:t xml:space="preserve"> (Sachgebietsleitung)</w:t>
      </w:r>
      <w:r w:rsidR="00F32EAA" w:rsidRPr="00DD3551">
        <w:rPr>
          <w:noProof/>
          <w:szCs w:val="22"/>
        </w:rPr>
        <w:t xml:space="preserve"> Teil des Stellenbemessungs</w:t>
      </w:r>
      <w:r w:rsidR="00A446AB">
        <w:rPr>
          <w:noProof/>
          <w:szCs w:val="22"/>
        </w:rPr>
        <w:softHyphen/>
      </w:r>
      <w:r w:rsidR="00F32EAA" w:rsidRPr="00DD3551">
        <w:rPr>
          <w:noProof/>
          <w:szCs w:val="22"/>
        </w:rPr>
        <w:t>verfahrens</w:t>
      </w:r>
      <w:r w:rsidR="000C290B">
        <w:rPr>
          <w:noProof/>
          <w:szCs w:val="22"/>
        </w:rPr>
        <w:t>.</w:t>
      </w:r>
      <w:r w:rsidR="00F32EAA" w:rsidRPr="00DD3551">
        <w:rPr>
          <w:noProof/>
          <w:szCs w:val="22"/>
        </w:rPr>
        <w:t xml:space="preserve"> </w:t>
      </w:r>
      <w:r w:rsidR="000C290B" w:rsidRPr="0049126C">
        <w:rPr>
          <w:noProof/>
          <w:szCs w:val="22"/>
        </w:rPr>
        <w:t xml:space="preserve">Die </w:t>
      </w:r>
      <w:r w:rsidR="00390D6F">
        <w:rPr>
          <w:noProof/>
          <w:szCs w:val="22"/>
        </w:rPr>
        <w:t>2,0</w:t>
      </w:r>
      <w:bookmarkStart w:id="0" w:name="_GoBack"/>
      <w:bookmarkEnd w:id="0"/>
      <w:r w:rsidR="000C290B">
        <w:rPr>
          <w:noProof/>
          <w:szCs w:val="22"/>
        </w:rPr>
        <w:t xml:space="preserve"> </w:t>
      </w:r>
      <w:r w:rsidR="00A446AB">
        <w:rPr>
          <w:noProof/>
          <w:szCs w:val="22"/>
        </w:rPr>
        <w:t>für die s</w:t>
      </w:r>
      <w:r w:rsidR="007521EA">
        <w:rPr>
          <w:noProof/>
          <w:szCs w:val="22"/>
        </w:rPr>
        <w:t xml:space="preserve">tv. Sachgebietsleitung </w:t>
      </w:r>
      <w:r w:rsidR="000C290B" w:rsidRPr="0049126C">
        <w:rPr>
          <w:noProof/>
          <w:szCs w:val="22"/>
        </w:rPr>
        <w:t xml:space="preserve">beantragten </w:t>
      </w:r>
      <w:r w:rsidR="000C290B">
        <w:rPr>
          <w:noProof/>
          <w:szCs w:val="22"/>
        </w:rPr>
        <w:t>S</w:t>
      </w:r>
      <w:r w:rsidR="000C290B" w:rsidRPr="0049126C">
        <w:rPr>
          <w:noProof/>
          <w:szCs w:val="22"/>
        </w:rPr>
        <w:t xml:space="preserve">tellen </w:t>
      </w:r>
      <w:r w:rsidR="000C290B">
        <w:rPr>
          <w:noProof/>
          <w:szCs w:val="22"/>
        </w:rPr>
        <w:t>fließen im</w:t>
      </w:r>
      <w:r w:rsidR="000C290B" w:rsidRPr="0049126C">
        <w:rPr>
          <w:noProof/>
          <w:szCs w:val="22"/>
        </w:rPr>
        <w:t xml:space="preserve"> vollem Umfang </w:t>
      </w:r>
      <w:r w:rsidR="000C290B">
        <w:rPr>
          <w:noProof/>
          <w:szCs w:val="22"/>
        </w:rPr>
        <w:t xml:space="preserve">in die </w:t>
      </w:r>
      <w:r w:rsidR="000C290B" w:rsidRPr="0049126C">
        <w:rPr>
          <w:noProof/>
          <w:szCs w:val="22"/>
        </w:rPr>
        <w:t>Personalbemessung Sozialhilfesachbearbeitung beim Sozialamt und den Bezirksämtern ein</w:t>
      </w:r>
      <w:r w:rsidR="000C290B">
        <w:rPr>
          <w:noProof/>
          <w:szCs w:val="22"/>
        </w:rPr>
        <w:t>.</w:t>
      </w:r>
      <w:r w:rsidR="000C290B" w:rsidRPr="0049126C">
        <w:rPr>
          <w:noProof/>
          <w:szCs w:val="22"/>
        </w:rPr>
        <w:t xml:space="preserve"> </w:t>
      </w:r>
      <w:r w:rsidR="007521EA" w:rsidRPr="00DD3551">
        <w:rPr>
          <w:noProof/>
          <w:szCs w:val="22"/>
        </w:rPr>
        <w:t>Der Ausgleich mit den Bezirksämtern ist von diesem Vorgehen unberührt und gesichert.</w:t>
      </w:r>
      <w:r w:rsidR="00A446AB">
        <w:rPr>
          <w:noProof/>
          <w:szCs w:val="22"/>
        </w:rPr>
        <w:br/>
      </w:r>
    </w:p>
    <w:p w:rsidR="000C290B" w:rsidRDefault="000C290B" w:rsidP="00A446AB">
      <w:pPr>
        <w:pStyle w:val="berschrift2"/>
      </w:pPr>
      <w:r>
        <w:t>3.3</w:t>
      </w:r>
      <w:r>
        <w:tab/>
        <w:t>Auswirkungen bei Ablehnung der Stellenschaffungen</w:t>
      </w:r>
    </w:p>
    <w:p w:rsidR="000C290B" w:rsidRDefault="000C290B" w:rsidP="00F32EAA">
      <w:pPr>
        <w:rPr>
          <w:noProof/>
        </w:rPr>
      </w:pPr>
    </w:p>
    <w:p w:rsidR="00F32EAA" w:rsidRPr="00F32EAA" w:rsidRDefault="00F32EAA" w:rsidP="00F32EAA">
      <w:r w:rsidRPr="00A6699E">
        <w:rPr>
          <w:noProof/>
        </w:rPr>
        <w:t>Die derzeitige Stellenausstattung reicht nicht aus, um die im Rahmen des Projekts „Stellenbemessung in der Sozialhilfe“ neu bemessenen Fallzahl</w:t>
      </w:r>
      <w:r w:rsidR="000C290B">
        <w:rPr>
          <w:noProof/>
        </w:rPr>
        <w:t>enschlüssel erfüllen zu können.</w:t>
      </w:r>
      <w:r w:rsidR="00831C8A">
        <w:rPr>
          <w:noProof/>
        </w:rPr>
        <w:t xml:space="preserve"> </w:t>
      </w:r>
      <w:r w:rsidR="000C290B">
        <w:rPr>
          <w:noProof/>
        </w:rPr>
        <w:t xml:space="preserve">Der </w:t>
      </w:r>
      <w:r w:rsidR="000C290B" w:rsidRPr="00A6699E">
        <w:t>qualitative Bearbeitungsstand in de</w:t>
      </w:r>
      <w:r w:rsidR="000C290B">
        <w:t>r Sozialhilfe könnte</w:t>
      </w:r>
      <w:r w:rsidR="000C290B" w:rsidRPr="00A6699E">
        <w:t xml:space="preserve"> nicht gehalten werden, verbunden mit unmittelbaren Auswirkungen auf den betroffenen </w:t>
      </w:r>
      <w:r w:rsidR="000C290B">
        <w:t>leistungsberechtigten</w:t>
      </w:r>
      <w:r w:rsidR="000C290B" w:rsidRPr="00A6699E">
        <w:t xml:space="preserve"> Personenkreis. </w:t>
      </w:r>
      <w:r w:rsidR="007D525E">
        <w:t xml:space="preserve">Die Leitungen </w:t>
      </w:r>
      <w:r w:rsidR="00A446AB">
        <w:t>der Dienststellen Christophstr./</w:t>
      </w:r>
      <w:r w:rsidR="007D525E">
        <w:t>Bebelstraße könnten nicht entlastet werden.</w:t>
      </w:r>
    </w:p>
    <w:p w:rsidR="003D7B0B" w:rsidRDefault="003D7B0B" w:rsidP="00884D6C"/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7521EA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A03" w:rsidRDefault="00FF0A03">
      <w:r>
        <w:separator/>
      </w:r>
    </w:p>
  </w:endnote>
  <w:endnote w:type="continuationSeparator" w:id="0">
    <w:p w:rsidR="00FF0A03" w:rsidRDefault="00FF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A03" w:rsidRDefault="00FF0A03">
      <w:r>
        <w:separator/>
      </w:r>
    </w:p>
  </w:footnote>
  <w:footnote w:type="continuationSeparator" w:id="0">
    <w:p w:rsidR="00FF0A03" w:rsidRDefault="00FF0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390D6F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03"/>
    <w:rsid w:val="0002471D"/>
    <w:rsid w:val="00055758"/>
    <w:rsid w:val="00074960"/>
    <w:rsid w:val="000963B5"/>
    <w:rsid w:val="000A1146"/>
    <w:rsid w:val="000C07F7"/>
    <w:rsid w:val="000C290B"/>
    <w:rsid w:val="000D4DBD"/>
    <w:rsid w:val="000E3079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41632"/>
    <w:rsid w:val="00283916"/>
    <w:rsid w:val="002924CB"/>
    <w:rsid w:val="002A20D1"/>
    <w:rsid w:val="002A4DE3"/>
    <w:rsid w:val="002A5FE7"/>
    <w:rsid w:val="002A61C1"/>
    <w:rsid w:val="002B5955"/>
    <w:rsid w:val="0030686C"/>
    <w:rsid w:val="00380937"/>
    <w:rsid w:val="00390D6F"/>
    <w:rsid w:val="00397717"/>
    <w:rsid w:val="003D7B0B"/>
    <w:rsid w:val="003F0FAA"/>
    <w:rsid w:val="0040103F"/>
    <w:rsid w:val="00402F71"/>
    <w:rsid w:val="00426C42"/>
    <w:rsid w:val="00433190"/>
    <w:rsid w:val="00470135"/>
    <w:rsid w:val="0047606A"/>
    <w:rsid w:val="004908B5"/>
    <w:rsid w:val="0049121B"/>
    <w:rsid w:val="004A1688"/>
    <w:rsid w:val="004B6796"/>
    <w:rsid w:val="004F2CBC"/>
    <w:rsid w:val="005A0A9D"/>
    <w:rsid w:val="005A56AA"/>
    <w:rsid w:val="005E19C6"/>
    <w:rsid w:val="005E50F9"/>
    <w:rsid w:val="005F5B3D"/>
    <w:rsid w:val="00606F80"/>
    <w:rsid w:val="00622CC7"/>
    <w:rsid w:val="00625647"/>
    <w:rsid w:val="006A406B"/>
    <w:rsid w:val="006B6D50"/>
    <w:rsid w:val="006D7E17"/>
    <w:rsid w:val="006E0575"/>
    <w:rsid w:val="0070571E"/>
    <w:rsid w:val="0072799A"/>
    <w:rsid w:val="007521EA"/>
    <w:rsid w:val="00754659"/>
    <w:rsid w:val="007B190B"/>
    <w:rsid w:val="007D525E"/>
    <w:rsid w:val="007E3B79"/>
    <w:rsid w:val="007F54EB"/>
    <w:rsid w:val="008066EE"/>
    <w:rsid w:val="00817BB6"/>
    <w:rsid w:val="00831C8A"/>
    <w:rsid w:val="00884D6C"/>
    <w:rsid w:val="00920F00"/>
    <w:rsid w:val="0092278F"/>
    <w:rsid w:val="009373F6"/>
    <w:rsid w:val="00957645"/>
    <w:rsid w:val="00976588"/>
    <w:rsid w:val="009E08BC"/>
    <w:rsid w:val="009E540C"/>
    <w:rsid w:val="00A16946"/>
    <w:rsid w:val="00A27CA7"/>
    <w:rsid w:val="00A446AB"/>
    <w:rsid w:val="00A45B30"/>
    <w:rsid w:val="00A65D82"/>
    <w:rsid w:val="00A71D0A"/>
    <w:rsid w:val="00A77F1E"/>
    <w:rsid w:val="00A847C4"/>
    <w:rsid w:val="00A977C4"/>
    <w:rsid w:val="00AB389D"/>
    <w:rsid w:val="00AC4233"/>
    <w:rsid w:val="00AE7B02"/>
    <w:rsid w:val="00AF0DEA"/>
    <w:rsid w:val="00AF25E0"/>
    <w:rsid w:val="00B04290"/>
    <w:rsid w:val="00B044B7"/>
    <w:rsid w:val="00B63EAD"/>
    <w:rsid w:val="00B80DEF"/>
    <w:rsid w:val="00B86BB5"/>
    <w:rsid w:val="00B91903"/>
    <w:rsid w:val="00BC4669"/>
    <w:rsid w:val="00C16EF1"/>
    <w:rsid w:val="00C24741"/>
    <w:rsid w:val="00C31432"/>
    <w:rsid w:val="00C448D3"/>
    <w:rsid w:val="00CF62E5"/>
    <w:rsid w:val="00D66D3A"/>
    <w:rsid w:val="00D743D4"/>
    <w:rsid w:val="00DB3D6C"/>
    <w:rsid w:val="00DD3551"/>
    <w:rsid w:val="00DE362D"/>
    <w:rsid w:val="00DE6DE0"/>
    <w:rsid w:val="00E014B6"/>
    <w:rsid w:val="00E1162F"/>
    <w:rsid w:val="00E11D5F"/>
    <w:rsid w:val="00E20E1F"/>
    <w:rsid w:val="00E42F96"/>
    <w:rsid w:val="00E7118F"/>
    <w:rsid w:val="00EF179F"/>
    <w:rsid w:val="00F17F88"/>
    <w:rsid w:val="00F27657"/>
    <w:rsid w:val="00F32EAA"/>
    <w:rsid w:val="00F342DC"/>
    <w:rsid w:val="00F37909"/>
    <w:rsid w:val="00F56F93"/>
    <w:rsid w:val="00F63041"/>
    <w:rsid w:val="00F76452"/>
    <w:rsid w:val="00FD6B46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B9D56"/>
  <w15:docId w15:val="{9F6B85E2-CE24-4DEF-A802-51D8FE7F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Lechler, Susanne</dc:creator>
  <cp:lastModifiedBy>Baumann, Gerhard</cp:lastModifiedBy>
  <cp:revision>18</cp:revision>
  <cp:lastPrinted>2021-10-05T08:21:00Z</cp:lastPrinted>
  <dcterms:created xsi:type="dcterms:W3CDTF">2021-01-19T07:06:00Z</dcterms:created>
  <dcterms:modified xsi:type="dcterms:W3CDTF">2021-10-05T08:21:00Z</dcterms:modified>
</cp:coreProperties>
</file>