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141DD">
        <w:rPr>
          <w:szCs w:val="24"/>
        </w:rPr>
        <w:t>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141DD">
        <w:rPr>
          <w:szCs w:val="24"/>
        </w:rPr>
        <w:t>829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2141DD" w:rsidRDefault="002141DD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1016"/>
        <w:gridCol w:w="1706"/>
        <w:gridCol w:w="737"/>
        <w:gridCol w:w="1134"/>
        <w:gridCol w:w="1417"/>
      </w:tblGrid>
      <w:tr w:rsidR="005F5B3D" w:rsidRPr="006E0575" w:rsidTr="00B47A49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016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706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B47A49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26794E" w:rsidP="006E057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  <w:r w:rsidR="00E0559B">
              <w:rPr>
                <w:sz w:val="20"/>
              </w:rPr>
              <w:t>.0500.0xx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E0559B" w:rsidP="006E0575">
            <w:pPr>
              <w:rPr>
                <w:sz w:val="20"/>
              </w:rPr>
            </w:pPr>
            <w:r>
              <w:rPr>
                <w:sz w:val="20"/>
              </w:rPr>
              <w:t>20 50 60 50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E0559B" w:rsidP="006E0575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1016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E0559B" w:rsidP="008A6853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</w:tc>
        <w:tc>
          <w:tcPr>
            <w:tcW w:w="1706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E0559B" w:rsidP="00E0559B">
            <w:pPr>
              <w:rPr>
                <w:sz w:val="20"/>
              </w:rPr>
            </w:pPr>
            <w:r>
              <w:rPr>
                <w:sz w:val="20"/>
              </w:rPr>
              <w:t xml:space="preserve">SB/-in </w:t>
            </w:r>
            <w:r w:rsidR="00B47A49">
              <w:rPr>
                <w:sz w:val="20"/>
              </w:rPr>
              <w:br/>
            </w:r>
            <w:r>
              <w:rPr>
                <w:sz w:val="20"/>
              </w:rPr>
              <w:t>Beitreibung</w:t>
            </w:r>
            <w:r w:rsidR="00A90D12">
              <w:rPr>
                <w:sz w:val="20"/>
              </w:rPr>
              <w:t xml:space="preserve"> </w:t>
            </w:r>
            <w:r w:rsidR="00B47A49">
              <w:rPr>
                <w:sz w:val="20"/>
              </w:rPr>
              <w:br/>
            </w:r>
            <w:r w:rsidR="00A90D12">
              <w:rPr>
                <w:sz w:val="20"/>
              </w:rPr>
              <w:t>(Innendienst)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7F4DA2" w:rsidP="008A6853">
            <w:pPr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2141DD" w:rsidRDefault="002141DD" w:rsidP="0021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siehe</w:t>
            </w:r>
          </w:p>
          <w:p w:rsidR="005F5B3D" w:rsidRPr="006B6647" w:rsidRDefault="002141DD" w:rsidP="0021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Ziffer 4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2141DD" w:rsidP="0021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23.630</w:t>
            </w:r>
          </w:p>
        </w:tc>
      </w:tr>
      <w:tr w:rsidR="002141DD" w:rsidRPr="006E0575" w:rsidTr="00B47A49">
        <w:tc>
          <w:tcPr>
            <w:tcW w:w="1814" w:type="dxa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>200.0502.0xx</w:t>
            </w:r>
          </w:p>
          <w:p w:rsidR="002141DD" w:rsidRDefault="002141DD" w:rsidP="002141DD">
            <w:pPr>
              <w:rPr>
                <w:sz w:val="20"/>
              </w:rPr>
            </w:pPr>
          </w:p>
          <w:p w:rsidR="002141DD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>20 50 60 50</w:t>
            </w:r>
          </w:p>
          <w:p w:rsidR="002141DD" w:rsidRPr="006E0575" w:rsidRDefault="002141DD" w:rsidP="002141D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Pr="006E0575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1016" w:type="dxa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Pr="006E0575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 xml:space="preserve">A 9 </w:t>
            </w:r>
            <w:proofErr w:type="spellStart"/>
            <w:r>
              <w:rPr>
                <w:sz w:val="20"/>
              </w:rPr>
              <w:t>mD</w:t>
            </w:r>
            <w:proofErr w:type="spellEnd"/>
            <w:r>
              <w:rPr>
                <w:sz w:val="20"/>
              </w:rPr>
              <w:br/>
              <w:t>+ Zulage</w:t>
            </w:r>
          </w:p>
        </w:tc>
        <w:tc>
          <w:tcPr>
            <w:tcW w:w="1706" w:type="dxa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>SB/-in</w:t>
            </w:r>
          </w:p>
          <w:p w:rsidR="002141DD" w:rsidRPr="006E0575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>Vollstreckungs-außendienst</w:t>
            </w:r>
          </w:p>
        </w:tc>
        <w:tc>
          <w:tcPr>
            <w:tcW w:w="737" w:type="dxa"/>
            <w:shd w:val="pct12" w:color="auto" w:fill="FFFFFF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Pr="006E0575" w:rsidRDefault="002141DD" w:rsidP="002141DD">
            <w:pPr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134" w:type="dxa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Default="002141DD" w:rsidP="0021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siehe</w:t>
            </w:r>
          </w:p>
          <w:p w:rsidR="002141DD" w:rsidRPr="006B6647" w:rsidRDefault="002141DD" w:rsidP="0021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Ziffer 4</w:t>
            </w:r>
          </w:p>
        </w:tc>
        <w:tc>
          <w:tcPr>
            <w:tcW w:w="1417" w:type="dxa"/>
          </w:tcPr>
          <w:p w:rsidR="002141DD" w:rsidRDefault="002141DD" w:rsidP="002141DD">
            <w:pPr>
              <w:rPr>
                <w:sz w:val="20"/>
              </w:rPr>
            </w:pPr>
          </w:p>
          <w:p w:rsidR="002141DD" w:rsidRPr="006E0575" w:rsidRDefault="002141DD" w:rsidP="0021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9.252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90D12" w:rsidRDefault="00A90D12" w:rsidP="00A90D12">
      <w:r>
        <w:t>Beantragt wird die Schaffung eine</w:t>
      </w:r>
      <w:r w:rsidR="0006511D">
        <w:t>r 0,34 Stelle</w:t>
      </w:r>
      <w:r w:rsidR="00270D05">
        <w:t xml:space="preserve"> in </w:t>
      </w:r>
      <w:proofErr w:type="spellStart"/>
      <w:r w:rsidR="00270D05">
        <w:t>Bes.Gr</w:t>
      </w:r>
      <w:proofErr w:type="spellEnd"/>
      <w:r w:rsidR="00270D05">
        <w:t>. A 8</w:t>
      </w:r>
      <w:r w:rsidR="0006511D">
        <w:t xml:space="preserve"> (Innendienst)</w:t>
      </w:r>
      <w:r>
        <w:t xml:space="preserve"> </w:t>
      </w:r>
      <w:r w:rsidR="00C23997">
        <w:t xml:space="preserve">sowie eines Stellenanteils von 0,12 in </w:t>
      </w:r>
      <w:proofErr w:type="spellStart"/>
      <w:r w:rsidR="00C23997">
        <w:t>Bes.Gr</w:t>
      </w:r>
      <w:proofErr w:type="spellEnd"/>
      <w:r w:rsidR="00C23997">
        <w:t>. A 9 m. D.</w:t>
      </w:r>
      <w:r w:rsidR="0099562B">
        <w:t xml:space="preserve"> mit Amtszulage</w:t>
      </w:r>
      <w:r w:rsidR="00C23997">
        <w:t xml:space="preserve"> (Außendienst) </w:t>
      </w:r>
      <w:r w:rsidR="00CC72A1">
        <w:t>für die</w:t>
      </w:r>
      <w:r>
        <w:t xml:space="preserve"> </w:t>
      </w:r>
      <w:r w:rsidR="00CC72A1">
        <w:t>Bei</w:t>
      </w:r>
      <w:r w:rsidR="00C23997">
        <w:t>treibungsabteilung</w:t>
      </w:r>
      <w:r w:rsidR="00CC72A1">
        <w:t xml:space="preserve"> der </w:t>
      </w:r>
      <w:r>
        <w:t>Stadtkämmerei</w:t>
      </w:r>
      <w:r w:rsidR="00270D05">
        <w:t xml:space="preserve"> </w:t>
      </w:r>
      <w:r w:rsidR="00C23997">
        <w:t>zur</w:t>
      </w:r>
      <w:r>
        <w:t xml:space="preserve"> Vollstreckung öffentlich-rechtlicher Forderungen im Zusammenhang mit der Einführung des Konzepts „Saube</w:t>
      </w:r>
      <w:r w:rsidR="00C23997">
        <w:t>res Stuttgart“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61D32" w:rsidRPr="00061D32" w:rsidRDefault="00061D32" w:rsidP="00061D32">
      <w:pPr>
        <w:rPr>
          <w:rFonts w:cs="Arial"/>
          <w:lang w:eastAsia="ar-SA"/>
        </w:rPr>
      </w:pPr>
      <w:r w:rsidRPr="00061D32">
        <w:rPr>
          <w:rFonts w:cs="Arial"/>
          <w:lang w:eastAsia="ar-SA"/>
        </w:rPr>
        <w:t>Die Stelle</w:t>
      </w:r>
      <w:r>
        <w:rPr>
          <w:rFonts w:cs="Arial"/>
          <w:lang w:eastAsia="ar-SA"/>
        </w:rPr>
        <w:t>nschaffung</w:t>
      </w:r>
      <w:r w:rsidRPr="00061D32">
        <w:rPr>
          <w:rFonts w:cs="Arial"/>
          <w:lang w:eastAsia="ar-SA"/>
        </w:rPr>
        <w:t xml:space="preserve"> ist Teil des Pakets </w:t>
      </w:r>
      <w:r w:rsidRPr="00061D32">
        <w:rPr>
          <w:rFonts w:cs="Arial"/>
          <w:noProof/>
          <w:szCs w:val="22"/>
          <w:lang w:eastAsia="ar-SA"/>
        </w:rPr>
        <w:t>„Sauberes Stuttgart“</w:t>
      </w:r>
      <w:r>
        <w:rPr>
          <w:rFonts w:cs="Arial"/>
          <w:noProof/>
          <w:szCs w:val="22"/>
          <w:lang w:eastAsia="ar-SA"/>
        </w:rPr>
        <w:t xml:space="preserve"> und </w:t>
      </w:r>
      <w:r w:rsidRPr="00061D32">
        <w:rPr>
          <w:rFonts w:cs="Arial"/>
          <w:lang w:eastAsia="ar-SA"/>
        </w:rPr>
        <w:t>in der „Grünen Liste“ zum Haushalt 2018 enthalten</w:t>
      </w:r>
      <w:r w:rsidRPr="00061D32">
        <w:rPr>
          <w:rFonts w:cs="Arial"/>
          <w:noProof/>
          <w:szCs w:val="22"/>
          <w:lang w:eastAsia="ar-SA"/>
        </w:rPr>
        <w:t>.</w:t>
      </w:r>
    </w:p>
    <w:p w:rsidR="00061D32" w:rsidRDefault="00061D32" w:rsidP="00863804"/>
    <w:p w:rsidR="00863804" w:rsidRDefault="00863804" w:rsidP="00863804">
      <w:r>
        <w:t>Eine konsequente Vollstreckung von Bußgeldern ist für den E</w:t>
      </w:r>
      <w:r w:rsidR="007B1093">
        <w:t>rfolg der Maßnahme unerlässlich und führt daher zur Arbeitsvermehrung</w:t>
      </w:r>
      <w:r w:rsidR="001012B8">
        <w:t xml:space="preserve">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  <w:r w:rsidR="00225B1C">
        <w:br/>
      </w:r>
    </w:p>
    <w:p w:rsidR="003F420B" w:rsidRPr="0099562B" w:rsidRDefault="00225B1C" w:rsidP="003F420B">
      <w:r w:rsidRPr="00EB1E0E">
        <w:t xml:space="preserve">Um die Verschmutzung des öffentlichen Raums </w:t>
      </w:r>
      <w:r>
        <w:t xml:space="preserve">in Stuttgart </w:t>
      </w:r>
      <w:r w:rsidRPr="00EB1E0E">
        <w:t xml:space="preserve">einzudämmen, </w:t>
      </w:r>
      <w:r>
        <w:t xml:space="preserve">wurde </w:t>
      </w:r>
      <w:r w:rsidRPr="00EB1E0E">
        <w:t xml:space="preserve">ein </w:t>
      </w:r>
      <w:r>
        <w:t>umfassendes</w:t>
      </w:r>
      <w:r w:rsidRPr="00EB1E0E">
        <w:t xml:space="preserve"> Konzept erarbeitet</w:t>
      </w:r>
      <w:r>
        <w:t xml:space="preserve">, das </w:t>
      </w:r>
      <w:r w:rsidRPr="00EB1E0E">
        <w:t xml:space="preserve">am 2. August 2017 in einer Pressekonferenz </w:t>
      </w:r>
      <w:r>
        <w:t xml:space="preserve">von Herrn </w:t>
      </w:r>
      <w:r w:rsidRPr="00EB1E0E">
        <w:t xml:space="preserve">Oberbürgermeister Fritz Kuhn und vom Technischen Bürgermeister Dirk </w:t>
      </w:r>
      <w:proofErr w:type="spellStart"/>
      <w:r w:rsidRPr="00EB1E0E">
        <w:t>Thürnau</w:t>
      </w:r>
      <w:proofErr w:type="spellEnd"/>
      <w:r w:rsidRPr="00EB1E0E">
        <w:t xml:space="preserve"> vorges</w:t>
      </w:r>
      <w:r>
        <w:t>tellt wurde. In diesem Konzept</w:t>
      </w:r>
      <w:r w:rsidR="003F420B">
        <w:t xml:space="preserve"> „Sauberes Stuttgart“ ist</w:t>
      </w:r>
      <w:r w:rsidR="000D1E36">
        <w:t xml:space="preserve"> u. a.</w:t>
      </w:r>
      <w:r w:rsidR="003F420B">
        <w:t xml:space="preserve"> vorgesehen, Verstöße verstärkt mit Bußgeldern zu belegen. </w:t>
      </w:r>
      <w:r w:rsidR="00061D32">
        <w:rPr>
          <w:rFonts w:cs="Arial"/>
        </w:rPr>
        <w:t xml:space="preserve">Bei insgesamt beantragten 13 </w:t>
      </w:r>
      <w:r w:rsidR="003F420B">
        <w:rPr>
          <w:rFonts w:cs="Arial"/>
        </w:rPr>
        <w:t xml:space="preserve">zusätzlichen Stellen für das Amt für öffentliche Ordnung </w:t>
      </w:r>
      <w:r w:rsidR="00061D32">
        <w:rPr>
          <w:rFonts w:cs="Arial"/>
        </w:rPr>
        <w:t>zur konsequenten</w:t>
      </w:r>
      <w:r w:rsidR="003F420B">
        <w:rPr>
          <w:rFonts w:cs="Arial"/>
        </w:rPr>
        <w:t xml:space="preserve"> Ahndung der</w:t>
      </w:r>
      <w:r w:rsidR="00A559A5">
        <w:rPr>
          <w:rFonts w:cs="Arial"/>
        </w:rPr>
        <w:t xml:space="preserve">, </w:t>
      </w:r>
      <w:r w:rsidR="007B1093">
        <w:rPr>
          <w:rFonts w:cs="Arial"/>
        </w:rPr>
        <w:t>v. a.</w:t>
      </w:r>
      <w:r w:rsidR="003F420B">
        <w:rPr>
          <w:rFonts w:cs="Arial"/>
        </w:rPr>
        <w:t xml:space="preserve"> im Bereich </w:t>
      </w:r>
      <w:proofErr w:type="spellStart"/>
      <w:r w:rsidR="003F420B">
        <w:rPr>
          <w:rFonts w:cs="Arial"/>
        </w:rPr>
        <w:t>Littering</w:t>
      </w:r>
      <w:proofErr w:type="spellEnd"/>
      <w:r w:rsidR="007B1093">
        <w:rPr>
          <w:rFonts w:cs="Arial"/>
        </w:rPr>
        <w:t>,</w:t>
      </w:r>
      <w:r w:rsidR="003F420B">
        <w:rPr>
          <w:rFonts w:cs="Arial"/>
        </w:rPr>
        <w:t xml:space="preserve"> zahlreich vorhandenen Verstöße </w:t>
      </w:r>
      <w:r>
        <w:rPr>
          <w:rFonts w:cs="Arial"/>
        </w:rPr>
        <w:t xml:space="preserve">ist </w:t>
      </w:r>
      <w:r w:rsidR="003F420B">
        <w:rPr>
          <w:rFonts w:cs="Arial"/>
        </w:rPr>
        <w:t xml:space="preserve">von einem deutlichen Anstieg </w:t>
      </w:r>
      <w:r w:rsidR="007B1093">
        <w:rPr>
          <w:rFonts w:cs="Arial"/>
        </w:rPr>
        <w:t>der Bußgelder beim</w:t>
      </w:r>
      <w:r w:rsidR="003F420B">
        <w:rPr>
          <w:rFonts w:cs="Arial"/>
        </w:rPr>
        <w:t xml:space="preserve"> Abfallrecht aus</w:t>
      </w:r>
      <w:r>
        <w:rPr>
          <w:rFonts w:cs="Arial"/>
        </w:rPr>
        <w:t>zugehen</w:t>
      </w:r>
      <w:r w:rsidR="003F420B">
        <w:rPr>
          <w:rFonts w:cs="Arial"/>
        </w:rPr>
        <w:t xml:space="preserve">. Insbesondere bei abfallrechtlichen Verstößen im Außenbereich kann es </w:t>
      </w:r>
      <w:r>
        <w:rPr>
          <w:rFonts w:cs="Arial"/>
        </w:rPr>
        <w:t>außer</w:t>
      </w:r>
      <w:r w:rsidR="003F420B">
        <w:rPr>
          <w:rFonts w:cs="Arial"/>
        </w:rPr>
        <w:t>dem zu Er</w:t>
      </w:r>
      <w:r>
        <w:rPr>
          <w:rFonts w:cs="Arial"/>
        </w:rPr>
        <w:t>satzvornahmen mit entsprechenden</w:t>
      </w:r>
      <w:r w:rsidR="003F420B">
        <w:rPr>
          <w:rFonts w:cs="Arial"/>
        </w:rPr>
        <w:t xml:space="preserve"> Kosten </w:t>
      </w:r>
      <w:r w:rsidR="003F420B">
        <w:rPr>
          <w:rFonts w:cs="Arial"/>
        </w:rPr>
        <w:lastRenderedPageBreak/>
        <w:t xml:space="preserve">bzw. zur Festsetzung von Zwangsgeldern kommen. Infolge der Umsetzung aller </w:t>
      </w:r>
      <w:r w:rsidR="0099562B">
        <w:rPr>
          <w:rFonts w:cs="Arial"/>
        </w:rPr>
        <w:t>vorgesehene</w:t>
      </w:r>
      <w:r w:rsidR="00BB5F37">
        <w:rPr>
          <w:rFonts w:cs="Arial"/>
        </w:rPr>
        <w:t>n</w:t>
      </w:r>
      <w:bookmarkStart w:id="0" w:name="_GoBack"/>
      <w:bookmarkEnd w:id="0"/>
      <w:r w:rsidR="003F420B">
        <w:rPr>
          <w:rFonts w:cs="Arial"/>
        </w:rPr>
        <w:t xml:space="preserve"> Maßnahmen </w:t>
      </w:r>
      <w:r w:rsidR="00C06199">
        <w:rPr>
          <w:rFonts w:cs="Arial"/>
        </w:rPr>
        <w:t xml:space="preserve">und auf der Basis einer Auswertung der Einnahmeart 2071 (Bußgeld Abfallrecht) </w:t>
      </w:r>
      <w:r w:rsidR="003F420B">
        <w:rPr>
          <w:rFonts w:cs="Arial"/>
        </w:rPr>
        <w:t xml:space="preserve">wird </w:t>
      </w:r>
      <w:r w:rsidR="00C06199">
        <w:rPr>
          <w:rFonts w:cs="Arial"/>
        </w:rPr>
        <w:t xml:space="preserve">zunächst </w:t>
      </w:r>
      <w:r w:rsidR="003F420B">
        <w:rPr>
          <w:rFonts w:cs="Arial"/>
        </w:rPr>
        <w:t xml:space="preserve">von 700 </w:t>
      </w:r>
      <w:r w:rsidR="006848E6">
        <w:rPr>
          <w:rFonts w:cs="Arial"/>
        </w:rPr>
        <w:t>zusätzlichen</w:t>
      </w:r>
      <w:r w:rsidR="003F420B">
        <w:rPr>
          <w:rFonts w:cs="Arial"/>
        </w:rPr>
        <w:t xml:space="preserve"> Vollstreck</w:t>
      </w:r>
      <w:r w:rsidR="0099562B">
        <w:rPr>
          <w:rFonts w:cs="Arial"/>
        </w:rPr>
        <w:t>ungsfällen pro</w:t>
      </w:r>
      <w:r w:rsidR="00C06199">
        <w:rPr>
          <w:rFonts w:cs="Arial"/>
        </w:rPr>
        <w:t xml:space="preserve"> Jahr ausgegangen. Basierend auf den bestehenden Erfahrungswerten und Kennzahlen errechnet sich ein Stellenbedarf für die Beitreibungsabteilung von insges</w:t>
      </w:r>
      <w:r w:rsidR="003F420B">
        <w:rPr>
          <w:rFonts w:cs="Arial"/>
        </w:rPr>
        <w:t>amt 0,</w:t>
      </w:r>
      <w:r w:rsidR="0099562B">
        <w:rPr>
          <w:rFonts w:cs="Arial"/>
        </w:rPr>
        <w:t>46</w:t>
      </w:r>
      <w:r w:rsidR="00C06199">
        <w:rPr>
          <w:rFonts w:cs="Arial"/>
        </w:rPr>
        <w:t xml:space="preserve"> Stellen.</w:t>
      </w:r>
    </w:p>
    <w:p w:rsidR="003F420B" w:rsidRDefault="003F420B" w:rsidP="003F420B">
      <w:pPr>
        <w:rPr>
          <w:rFonts w:cs="Arial"/>
        </w:rPr>
      </w:pP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233AAA" w:rsidRPr="00233AAA" w:rsidRDefault="00233AAA" w:rsidP="00233AAA"/>
    <w:p w:rsidR="00233AAA" w:rsidRDefault="001012B8" w:rsidP="00233AAA">
      <w:pPr>
        <w:rPr>
          <w:rFonts w:cs="Arial"/>
        </w:rPr>
      </w:pPr>
      <w:r>
        <w:rPr>
          <w:rFonts w:cs="Arial"/>
        </w:rPr>
        <w:t>Die zusätzlichen Beitreibungs- bzw. Vollstreckungsfälle führen zu einer Arbeitsvermehrung, die vom vorhandenen Personal nicht aufgefangen werden kann.</w:t>
      </w:r>
    </w:p>
    <w:p w:rsidR="00CC72A1" w:rsidRDefault="00CC72A1" w:rsidP="00233AAA">
      <w:pPr>
        <w:rPr>
          <w:rFonts w:cs="Arial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863804" w:rsidP="00863804">
      <w:r>
        <w:t>Festgesetzte Bußgelder könn</w:t>
      </w:r>
      <w:r w:rsidR="002141DD">
        <w:t>t</w:t>
      </w:r>
      <w:r>
        <w:t>en nicht durchgesetzt werden</w:t>
      </w:r>
      <w:r w:rsidR="00233AAA">
        <w:t>. Der</w:t>
      </w:r>
      <w:r>
        <w:t xml:space="preserve"> Erfolg der Maßnahmen </w:t>
      </w:r>
      <w:r w:rsidR="003F420B">
        <w:t>w</w:t>
      </w:r>
      <w:r w:rsidR="002141DD">
        <w:t>ürde</w:t>
      </w:r>
      <w:r w:rsidR="003F420B">
        <w:t xml:space="preserve"> </w:t>
      </w:r>
      <w:r w:rsidR="001012B8">
        <w:t>beeinträchtigt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0D1E36" w:rsidRDefault="000D1E36" w:rsidP="000D1E36">
      <w:pPr>
        <w:rPr>
          <w:szCs w:val="24"/>
        </w:rPr>
      </w:pPr>
      <w:r>
        <w:rPr>
          <w:szCs w:val="24"/>
        </w:rPr>
        <w:t xml:space="preserve">Da wenig Erfahrungswerte vorhanden sind und nicht eindeutig vorhergesagt werden kann, zu welchem Zeitpunkt die prognostizierten Fallzahlen eintreten, </w:t>
      </w:r>
      <w:r w:rsidRPr="009D4A15">
        <w:rPr>
          <w:szCs w:val="24"/>
        </w:rPr>
        <w:t>wird folgender Stellenvermerk angebracht:</w:t>
      </w:r>
    </w:p>
    <w:p w:rsidR="000D1E36" w:rsidRPr="009D4A15" w:rsidRDefault="000D1E36" w:rsidP="000D1E36">
      <w:pPr>
        <w:rPr>
          <w:szCs w:val="24"/>
        </w:rPr>
      </w:pPr>
    </w:p>
    <w:p w:rsidR="000D1E36" w:rsidRPr="009D4A15" w:rsidRDefault="000D1E36" w:rsidP="000D1E36">
      <w:pPr>
        <w:rPr>
          <w:szCs w:val="24"/>
        </w:rPr>
      </w:pPr>
      <w:r w:rsidRPr="0056586A">
        <w:rPr>
          <w:rFonts w:ascii="Helv" w:hAnsi="Helv" w:cs="Helv"/>
          <w:color w:val="000000"/>
          <w:szCs w:val="24"/>
        </w:rPr>
        <w:t>„Die Besetzung der Stellen</w:t>
      </w:r>
      <w:r w:rsidR="00D73CC5">
        <w:rPr>
          <w:rFonts w:ascii="Helv" w:hAnsi="Helv" w:cs="Helv"/>
          <w:color w:val="000000"/>
          <w:szCs w:val="24"/>
        </w:rPr>
        <w:t>anteile</w:t>
      </w:r>
      <w:r w:rsidRPr="0056586A">
        <w:rPr>
          <w:rFonts w:ascii="Helv" w:hAnsi="Helv" w:cs="Helv"/>
          <w:color w:val="000000"/>
          <w:szCs w:val="24"/>
        </w:rPr>
        <w:t xml:space="preserve"> erfolgt entsprechend der tatsächlichen Fallzahlenentwicklung und Bearbeitungszeiten. Die Besetzung ist von Amt 10 </w:t>
      </w:r>
      <w:r w:rsidR="001012B8">
        <w:rPr>
          <w:rFonts w:ascii="Helv" w:hAnsi="Helv" w:cs="Helv"/>
          <w:color w:val="000000"/>
          <w:szCs w:val="24"/>
        </w:rPr>
        <w:t>i. V. m.</w:t>
      </w:r>
      <w:r w:rsidRPr="0056586A">
        <w:rPr>
          <w:rFonts w:ascii="Helv" w:hAnsi="Helv" w:cs="Helv"/>
          <w:color w:val="000000"/>
          <w:szCs w:val="24"/>
        </w:rPr>
        <w:t xml:space="preserve"> Amt 20 freizugeben.“</w:t>
      </w:r>
    </w:p>
    <w:p w:rsidR="000D1E36" w:rsidRDefault="000D1E36" w:rsidP="00884D6C"/>
    <w:sectPr w:rsidR="000D1E3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AA" w:rsidRDefault="00233AAA">
      <w:r>
        <w:separator/>
      </w:r>
    </w:p>
  </w:endnote>
  <w:endnote w:type="continuationSeparator" w:id="0">
    <w:p w:rsidR="00233AAA" w:rsidRDefault="0023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AA" w:rsidRDefault="00233AAA">
      <w:r>
        <w:separator/>
      </w:r>
    </w:p>
  </w:footnote>
  <w:footnote w:type="continuationSeparator" w:id="0">
    <w:p w:rsidR="00233AAA" w:rsidRDefault="0023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AA" w:rsidRDefault="00233AA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5F3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33AAA" w:rsidRDefault="00233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61D32"/>
    <w:rsid w:val="0006511D"/>
    <w:rsid w:val="000A1146"/>
    <w:rsid w:val="000D1E36"/>
    <w:rsid w:val="001012B8"/>
    <w:rsid w:val="0011112B"/>
    <w:rsid w:val="0014415D"/>
    <w:rsid w:val="00163034"/>
    <w:rsid w:val="00163A8A"/>
    <w:rsid w:val="00165C0D"/>
    <w:rsid w:val="00181857"/>
    <w:rsid w:val="00184EDC"/>
    <w:rsid w:val="00194770"/>
    <w:rsid w:val="001A5F9B"/>
    <w:rsid w:val="001F7237"/>
    <w:rsid w:val="002141DD"/>
    <w:rsid w:val="00225B1C"/>
    <w:rsid w:val="00233AAA"/>
    <w:rsid w:val="0026794E"/>
    <w:rsid w:val="00270C15"/>
    <w:rsid w:val="00270D05"/>
    <w:rsid w:val="002779E3"/>
    <w:rsid w:val="002924CB"/>
    <w:rsid w:val="002A20D1"/>
    <w:rsid w:val="002B5955"/>
    <w:rsid w:val="00341F1E"/>
    <w:rsid w:val="00380937"/>
    <w:rsid w:val="003D7B0B"/>
    <w:rsid w:val="003F420B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848E6"/>
    <w:rsid w:val="006A7700"/>
    <w:rsid w:val="006B6647"/>
    <w:rsid w:val="006B6D50"/>
    <w:rsid w:val="006E0575"/>
    <w:rsid w:val="00754659"/>
    <w:rsid w:val="007A29E4"/>
    <w:rsid w:val="007B1093"/>
    <w:rsid w:val="007E3B79"/>
    <w:rsid w:val="007F4DA2"/>
    <w:rsid w:val="008066EE"/>
    <w:rsid w:val="00817BB6"/>
    <w:rsid w:val="00863804"/>
    <w:rsid w:val="00884D6C"/>
    <w:rsid w:val="008A6853"/>
    <w:rsid w:val="00906404"/>
    <w:rsid w:val="00976588"/>
    <w:rsid w:val="0099562B"/>
    <w:rsid w:val="00A27CA7"/>
    <w:rsid w:val="00A559A5"/>
    <w:rsid w:val="00A71D0A"/>
    <w:rsid w:val="00A77F1E"/>
    <w:rsid w:val="00A90D12"/>
    <w:rsid w:val="00B04290"/>
    <w:rsid w:val="00B11187"/>
    <w:rsid w:val="00B47A49"/>
    <w:rsid w:val="00B80DEF"/>
    <w:rsid w:val="00BB5F37"/>
    <w:rsid w:val="00BC4669"/>
    <w:rsid w:val="00BE3D3C"/>
    <w:rsid w:val="00BF2B95"/>
    <w:rsid w:val="00C06199"/>
    <w:rsid w:val="00C16EF1"/>
    <w:rsid w:val="00C23997"/>
    <w:rsid w:val="00C448D3"/>
    <w:rsid w:val="00C53853"/>
    <w:rsid w:val="00CC72A1"/>
    <w:rsid w:val="00D461B9"/>
    <w:rsid w:val="00D73CC5"/>
    <w:rsid w:val="00DB3D6C"/>
    <w:rsid w:val="00E014B6"/>
    <w:rsid w:val="00E0559B"/>
    <w:rsid w:val="00E1162F"/>
    <w:rsid w:val="00E11D5F"/>
    <w:rsid w:val="00E20E1F"/>
    <w:rsid w:val="00E7118F"/>
    <w:rsid w:val="00E81470"/>
    <w:rsid w:val="00F27657"/>
    <w:rsid w:val="00F342DC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FEEEE"/>
  <w15:docId w15:val="{911363FC-6321-42B7-BC27-F8E18CF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5385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5385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53853"/>
    <w:rPr>
      <w:sz w:val="16"/>
    </w:rPr>
  </w:style>
  <w:style w:type="paragraph" w:styleId="Kommentartext">
    <w:name w:val="annotation text"/>
    <w:basedOn w:val="Standard"/>
    <w:semiHidden/>
    <w:rsid w:val="00C53853"/>
    <w:rPr>
      <w:sz w:val="20"/>
    </w:rPr>
  </w:style>
  <w:style w:type="paragraph" w:styleId="Fuzeile">
    <w:name w:val="footer"/>
    <w:basedOn w:val="Standard"/>
    <w:rsid w:val="00C5385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5385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381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9</cp:revision>
  <cp:lastPrinted>2017-09-15T15:14:00Z</cp:lastPrinted>
  <dcterms:created xsi:type="dcterms:W3CDTF">2017-09-13T09:44:00Z</dcterms:created>
  <dcterms:modified xsi:type="dcterms:W3CDTF">2017-09-15T15:18:00Z</dcterms:modified>
</cp:coreProperties>
</file>