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38C1" w14:textId="02861B68" w:rsidR="00236DCC" w:rsidRDefault="009D4B2E">
      <w:pPr>
        <w:jc w:val="right"/>
      </w:pPr>
      <w:r>
        <w:t xml:space="preserve">Anlage </w:t>
      </w:r>
      <w:r w:rsidR="00C1242D">
        <w:t>7</w:t>
      </w:r>
      <w:r>
        <w:t xml:space="preserve"> zur GRDrs</w:t>
      </w:r>
      <w:r w:rsidR="000A2483">
        <w:t>.</w:t>
      </w:r>
      <w:r>
        <w:t xml:space="preserve"> </w:t>
      </w:r>
      <w:r w:rsidR="000A2483">
        <w:t>823</w:t>
      </w:r>
      <w:r>
        <w:t>/2023</w:t>
      </w:r>
    </w:p>
    <w:p w14:paraId="568410FD" w14:textId="77777777" w:rsidR="00236DCC" w:rsidRDefault="00236DCC"/>
    <w:p w14:paraId="238CA1B0" w14:textId="77777777" w:rsidR="00236DCC" w:rsidRDefault="00236DCC"/>
    <w:p w14:paraId="6523A65E" w14:textId="77777777" w:rsidR="00236DCC" w:rsidRDefault="009D4B2E">
      <w:pPr>
        <w:jc w:val="center"/>
        <w:rPr>
          <w:b/>
          <w:sz w:val="36"/>
        </w:rPr>
      </w:pPr>
      <w:r>
        <w:rPr>
          <w:b/>
          <w:sz w:val="36"/>
          <w:u w:val="single"/>
        </w:rPr>
        <w:t>Stellenschaffun</w:t>
      </w:r>
      <w:r>
        <w:rPr>
          <w:b/>
          <w:sz w:val="36"/>
        </w:rPr>
        <w:t>g</w:t>
      </w:r>
    </w:p>
    <w:p w14:paraId="23B23E4A" w14:textId="77777777" w:rsidR="00236DCC" w:rsidRDefault="009D4B2E">
      <w:pPr>
        <w:jc w:val="center"/>
        <w:rPr>
          <w:b/>
          <w:sz w:val="36"/>
          <w:szCs w:val="36"/>
          <w:u w:val="single"/>
        </w:rPr>
      </w:pPr>
      <w:r>
        <w:rPr>
          <w:b/>
          <w:sz w:val="36"/>
          <w:szCs w:val="36"/>
          <w:u w:val="single"/>
        </w:rPr>
        <w:t>zum Stellenplan 2024</w:t>
      </w:r>
    </w:p>
    <w:p w14:paraId="080C6412" w14:textId="77777777" w:rsidR="00236DCC" w:rsidRDefault="00236DCC">
      <w:pPr>
        <w:rPr>
          <w:u w:val="single"/>
        </w:rPr>
      </w:pPr>
    </w:p>
    <w:p w14:paraId="5E67A914" w14:textId="77777777" w:rsidR="00236DCC" w:rsidRDefault="00236DCC">
      <w:pPr>
        <w:rPr>
          <w:u w:val="single"/>
        </w:rPr>
      </w:pPr>
    </w:p>
    <w:tbl>
      <w:tblPr>
        <w:tblW w:w="9527" w:type="dxa"/>
        <w:tblInd w:w="-85" w:type="dxa"/>
        <w:tblLayout w:type="fixed"/>
        <w:tblCellMar>
          <w:left w:w="85" w:type="dxa"/>
          <w:right w:w="85" w:type="dxa"/>
        </w:tblCellMar>
        <w:tblLook w:val="0000" w:firstRow="0" w:lastRow="0" w:firstColumn="0" w:lastColumn="0" w:noHBand="0" w:noVBand="0"/>
      </w:tblPr>
      <w:tblGrid>
        <w:gridCol w:w="1701"/>
        <w:gridCol w:w="1702"/>
        <w:gridCol w:w="850"/>
        <w:gridCol w:w="1702"/>
        <w:gridCol w:w="851"/>
        <w:gridCol w:w="1133"/>
        <w:gridCol w:w="1588"/>
      </w:tblGrid>
      <w:tr w:rsidR="00236DCC" w14:paraId="32050340" w14:textId="77777777">
        <w:trPr>
          <w:tblHeader/>
        </w:trPr>
        <w:tc>
          <w:tcPr>
            <w:tcW w:w="1700" w:type="dxa"/>
            <w:tcBorders>
              <w:top w:val="single" w:sz="4" w:space="0" w:color="000000"/>
              <w:left w:val="single" w:sz="4" w:space="0" w:color="000000"/>
              <w:bottom w:val="single" w:sz="4" w:space="0" w:color="000000"/>
              <w:right w:val="single" w:sz="4" w:space="0" w:color="000000"/>
            </w:tcBorders>
            <w:shd w:val="pct12" w:color="auto" w:fill="FFFFFF"/>
          </w:tcPr>
          <w:p w14:paraId="49CE5A5A" w14:textId="77777777" w:rsidR="00236DCC" w:rsidRDefault="009D4B2E">
            <w:pPr>
              <w:widowControl w:val="0"/>
              <w:spacing w:before="120" w:after="120" w:line="200" w:lineRule="exact"/>
              <w:rPr>
                <w:sz w:val="16"/>
                <w:szCs w:val="16"/>
              </w:rPr>
            </w:pPr>
            <w:r>
              <w:rPr>
                <w:sz w:val="16"/>
                <w:szCs w:val="16"/>
              </w:rPr>
              <w:t>Org.-Einheit,</w:t>
            </w:r>
          </w:p>
          <w:p w14:paraId="0C6D12BA" w14:textId="77777777" w:rsidR="00236DCC" w:rsidRDefault="009D4B2E">
            <w:pPr>
              <w:widowControl w:val="0"/>
              <w:spacing w:before="120" w:after="120" w:line="200" w:lineRule="exact"/>
              <w:rPr>
                <w:sz w:val="16"/>
                <w:szCs w:val="16"/>
              </w:rPr>
            </w:pPr>
            <w:r>
              <w:rPr>
                <w:sz w:val="16"/>
                <w:szCs w:val="16"/>
              </w:rPr>
              <w:t>Kostenstelle</w:t>
            </w:r>
          </w:p>
        </w:tc>
        <w:tc>
          <w:tcPr>
            <w:tcW w:w="1702" w:type="dxa"/>
            <w:tcBorders>
              <w:top w:val="single" w:sz="4" w:space="0" w:color="000000"/>
              <w:left w:val="single" w:sz="4" w:space="0" w:color="000000"/>
              <w:bottom w:val="single" w:sz="4" w:space="0" w:color="000000"/>
              <w:right w:val="single" w:sz="4" w:space="0" w:color="000000"/>
            </w:tcBorders>
            <w:shd w:val="pct12" w:color="auto" w:fill="FFFFFF"/>
          </w:tcPr>
          <w:p w14:paraId="4F742FDA" w14:textId="77777777" w:rsidR="00236DCC" w:rsidRDefault="009D4B2E">
            <w:pPr>
              <w:widowControl w:val="0"/>
              <w:spacing w:before="120" w:after="120" w:line="200" w:lineRule="exact"/>
              <w:rPr>
                <w:sz w:val="16"/>
                <w:szCs w:val="16"/>
              </w:rPr>
            </w:pPr>
            <w:r>
              <w:rPr>
                <w:sz w:val="16"/>
                <w:szCs w:val="16"/>
              </w:rPr>
              <w:t>Amt</w:t>
            </w:r>
          </w:p>
        </w:tc>
        <w:tc>
          <w:tcPr>
            <w:tcW w:w="850" w:type="dxa"/>
            <w:tcBorders>
              <w:top w:val="single" w:sz="4" w:space="0" w:color="000000"/>
              <w:left w:val="single" w:sz="4" w:space="0" w:color="000000"/>
              <w:bottom w:val="single" w:sz="4" w:space="0" w:color="000000"/>
              <w:right w:val="single" w:sz="4" w:space="0" w:color="000000"/>
            </w:tcBorders>
            <w:shd w:val="pct12" w:color="auto" w:fill="FFFFFF"/>
          </w:tcPr>
          <w:p w14:paraId="375CA692" w14:textId="77777777" w:rsidR="00236DCC" w:rsidRDefault="009D4B2E">
            <w:pPr>
              <w:widowControl w:val="0"/>
              <w:spacing w:before="120" w:after="120" w:line="200" w:lineRule="exact"/>
              <w:rPr>
                <w:sz w:val="16"/>
                <w:szCs w:val="16"/>
              </w:rPr>
            </w:pPr>
            <w:r>
              <w:rPr>
                <w:sz w:val="16"/>
                <w:szCs w:val="16"/>
              </w:rPr>
              <w:t>BesGr.</w:t>
            </w:r>
          </w:p>
          <w:p w14:paraId="786F09D9" w14:textId="77777777" w:rsidR="00236DCC" w:rsidRDefault="009D4B2E">
            <w:pPr>
              <w:widowControl w:val="0"/>
              <w:spacing w:before="120" w:after="120" w:line="200" w:lineRule="exact"/>
              <w:rPr>
                <w:sz w:val="16"/>
                <w:szCs w:val="16"/>
              </w:rPr>
            </w:pPr>
            <w:r>
              <w:rPr>
                <w:sz w:val="16"/>
                <w:szCs w:val="16"/>
              </w:rPr>
              <w:t>oder</w:t>
            </w:r>
          </w:p>
          <w:p w14:paraId="56D9CFBA" w14:textId="77777777" w:rsidR="00236DCC" w:rsidRDefault="009D4B2E">
            <w:pPr>
              <w:widowControl w:val="0"/>
              <w:spacing w:before="120" w:after="120" w:line="200" w:lineRule="exact"/>
              <w:rPr>
                <w:sz w:val="16"/>
                <w:szCs w:val="16"/>
              </w:rPr>
            </w:pPr>
            <w:r>
              <w:rPr>
                <w:sz w:val="16"/>
                <w:szCs w:val="16"/>
              </w:rPr>
              <w:t>EG</w:t>
            </w:r>
          </w:p>
        </w:tc>
        <w:tc>
          <w:tcPr>
            <w:tcW w:w="1702" w:type="dxa"/>
            <w:tcBorders>
              <w:top w:val="single" w:sz="4" w:space="0" w:color="000000"/>
              <w:left w:val="single" w:sz="4" w:space="0" w:color="000000"/>
              <w:bottom w:val="single" w:sz="4" w:space="0" w:color="000000"/>
              <w:right w:val="single" w:sz="4" w:space="0" w:color="000000"/>
            </w:tcBorders>
            <w:shd w:val="pct12" w:color="auto" w:fill="FFFFFF"/>
          </w:tcPr>
          <w:p w14:paraId="7D03032F" w14:textId="77777777" w:rsidR="00236DCC" w:rsidRDefault="009D4B2E">
            <w:pPr>
              <w:widowControl w:val="0"/>
              <w:spacing w:before="120" w:after="120" w:line="200" w:lineRule="exact"/>
              <w:rPr>
                <w:sz w:val="16"/>
                <w:szCs w:val="16"/>
              </w:rPr>
            </w:pPr>
            <w:r>
              <w:rPr>
                <w:sz w:val="16"/>
                <w:szCs w:val="16"/>
              </w:rPr>
              <w:t>Funktions-</w:t>
            </w:r>
            <w:r>
              <w:rPr>
                <w:sz w:val="16"/>
                <w:szCs w:val="16"/>
              </w:rPr>
              <w:br/>
              <w:t>bezeichnung</w:t>
            </w:r>
          </w:p>
        </w:tc>
        <w:tc>
          <w:tcPr>
            <w:tcW w:w="851" w:type="dxa"/>
            <w:tcBorders>
              <w:top w:val="single" w:sz="4" w:space="0" w:color="000000"/>
              <w:left w:val="single" w:sz="4" w:space="0" w:color="000000"/>
              <w:bottom w:val="single" w:sz="4" w:space="0" w:color="000000"/>
              <w:right w:val="single" w:sz="4" w:space="0" w:color="000000"/>
            </w:tcBorders>
            <w:shd w:val="pct12" w:color="auto" w:fill="FFFFFF"/>
          </w:tcPr>
          <w:p w14:paraId="779E2280" w14:textId="77777777" w:rsidR="00236DCC" w:rsidRDefault="009D4B2E">
            <w:pPr>
              <w:widowControl w:val="0"/>
              <w:spacing w:before="120" w:after="120" w:line="200" w:lineRule="exact"/>
              <w:rPr>
                <w:sz w:val="16"/>
                <w:szCs w:val="16"/>
              </w:rPr>
            </w:pPr>
            <w:r>
              <w:rPr>
                <w:sz w:val="16"/>
                <w:szCs w:val="16"/>
              </w:rPr>
              <w:t>Anzahl</w:t>
            </w:r>
            <w:r>
              <w:rPr>
                <w:sz w:val="16"/>
                <w:szCs w:val="16"/>
              </w:rPr>
              <w:br/>
              <w:t>der</w:t>
            </w:r>
            <w:r>
              <w:rPr>
                <w:sz w:val="16"/>
                <w:szCs w:val="16"/>
              </w:rPr>
              <w:br/>
              <w:t>Stellen</w:t>
            </w:r>
          </w:p>
        </w:tc>
        <w:tc>
          <w:tcPr>
            <w:tcW w:w="1133" w:type="dxa"/>
            <w:tcBorders>
              <w:top w:val="single" w:sz="4" w:space="0" w:color="000000"/>
              <w:left w:val="single" w:sz="4" w:space="0" w:color="000000"/>
              <w:bottom w:val="single" w:sz="4" w:space="0" w:color="000000"/>
              <w:right w:val="single" w:sz="4" w:space="0" w:color="000000"/>
            </w:tcBorders>
            <w:shd w:val="pct12" w:color="auto" w:fill="FFFFFF"/>
          </w:tcPr>
          <w:p w14:paraId="089E6F3B" w14:textId="77777777" w:rsidR="00236DCC" w:rsidRDefault="009D4B2E">
            <w:pPr>
              <w:widowControl w:val="0"/>
              <w:spacing w:before="120" w:after="120" w:line="200" w:lineRule="exact"/>
              <w:rPr>
                <w:sz w:val="16"/>
                <w:szCs w:val="16"/>
              </w:rPr>
            </w:pPr>
            <w:r>
              <w:rPr>
                <w:sz w:val="16"/>
                <w:szCs w:val="16"/>
              </w:rPr>
              <w:t>Stellen-</w:t>
            </w:r>
            <w:r>
              <w:rPr>
                <w:sz w:val="16"/>
                <w:szCs w:val="16"/>
              </w:rPr>
              <w:br/>
              <w:t>vermerk</w:t>
            </w:r>
          </w:p>
        </w:tc>
        <w:tc>
          <w:tcPr>
            <w:tcW w:w="1588" w:type="dxa"/>
            <w:tcBorders>
              <w:top w:val="single" w:sz="4" w:space="0" w:color="000000"/>
              <w:left w:val="single" w:sz="4" w:space="0" w:color="000000"/>
              <w:bottom w:val="single" w:sz="4" w:space="0" w:color="000000"/>
              <w:right w:val="single" w:sz="4" w:space="0" w:color="000000"/>
            </w:tcBorders>
            <w:shd w:val="pct12" w:color="auto" w:fill="FFFFFF"/>
          </w:tcPr>
          <w:p w14:paraId="411DDF1C" w14:textId="77777777" w:rsidR="00236DCC" w:rsidRDefault="009D4B2E">
            <w:pPr>
              <w:widowControl w:val="0"/>
              <w:spacing w:before="120" w:after="120" w:line="200" w:lineRule="exact"/>
              <w:rPr>
                <w:sz w:val="16"/>
                <w:szCs w:val="16"/>
              </w:rPr>
            </w:pPr>
            <w:r>
              <w:rPr>
                <w:sz w:val="16"/>
                <w:szCs w:val="16"/>
              </w:rPr>
              <w:t>durchschnittlicher</w:t>
            </w:r>
            <w:r>
              <w:rPr>
                <w:sz w:val="16"/>
                <w:szCs w:val="16"/>
              </w:rPr>
              <w:br/>
              <w:t>jährlicher</w:t>
            </w:r>
            <w:r>
              <w:rPr>
                <w:sz w:val="16"/>
                <w:szCs w:val="16"/>
              </w:rPr>
              <w:br/>
              <w:t>kostenwirksamer</w:t>
            </w:r>
            <w:r>
              <w:rPr>
                <w:sz w:val="16"/>
                <w:szCs w:val="16"/>
              </w:rPr>
              <w:br/>
              <w:t>Aufwand</w:t>
            </w:r>
            <w:r>
              <w:rPr>
                <w:sz w:val="16"/>
                <w:szCs w:val="16"/>
              </w:rPr>
              <w:br/>
              <w:t>in Euro</w:t>
            </w:r>
          </w:p>
        </w:tc>
      </w:tr>
      <w:tr w:rsidR="00236DCC" w14:paraId="3DA3A4F7" w14:textId="77777777">
        <w:tc>
          <w:tcPr>
            <w:tcW w:w="1700" w:type="dxa"/>
            <w:tcBorders>
              <w:top w:val="single" w:sz="4" w:space="0" w:color="000000"/>
              <w:left w:val="single" w:sz="4" w:space="0" w:color="000000"/>
              <w:bottom w:val="single" w:sz="4" w:space="0" w:color="000000"/>
              <w:right w:val="single" w:sz="4" w:space="0" w:color="000000"/>
            </w:tcBorders>
          </w:tcPr>
          <w:p w14:paraId="055A6C12" w14:textId="77777777" w:rsidR="00236DCC" w:rsidRDefault="00236DCC">
            <w:pPr>
              <w:widowControl w:val="0"/>
              <w:rPr>
                <w:sz w:val="20"/>
              </w:rPr>
            </w:pPr>
          </w:p>
          <w:p w14:paraId="78F09C64" w14:textId="77777777" w:rsidR="00236DCC" w:rsidRDefault="009D4B2E">
            <w:pPr>
              <w:widowControl w:val="0"/>
              <w:rPr>
                <w:sz w:val="20"/>
              </w:rPr>
            </w:pPr>
            <w:r>
              <w:rPr>
                <w:sz w:val="20"/>
              </w:rPr>
              <w:t>29-3</w:t>
            </w:r>
          </w:p>
          <w:p w14:paraId="41ACAED3" w14:textId="77777777" w:rsidR="00236DCC" w:rsidRDefault="00236DCC">
            <w:pPr>
              <w:widowControl w:val="0"/>
              <w:rPr>
                <w:sz w:val="20"/>
              </w:rPr>
            </w:pPr>
          </w:p>
          <w:p w14:paraId="18BBB04B" w14:textId="77777777" w:rsidR="00236DCC" w:rsidRDefault="009D4B2E">
            <w:pPr>
              <w:widowControl w:val="0"/>
              <w:rPr>
                <w:sz w:val="20"/>
              </w:rPr>
            </w:pPr>
            <w:r>
              <w:rPr>
                <w:sz w:val="20"/>
              </w:rPr>
              <w:t>290 3010</w:t>
            </w:r>
          </w:p>
          <w:p w14:paraId="7366E657" w14:textId="77777777" w:rsidR="00236DCC" w:rsidRDefault="00236DCC">
            <w:pPr>
              <w:widowControl w:val="0"/>
              <w:rPr>
                <w:sz w:val="20"/>
              </w:rPr>
            </w:pPr>
          </w:p>
          <w:p w14:paraId="4D9F812E" w14:textId="77777777" w:rsidR="00236DCC" w:rsidRDefault="009D4B2E">
            <w:pPr>
              <w:widowControl w:val="0"/>
              <w:rPr>
                <w:sz w:val="20"/>
              </w:rPr>
            </w:pPr>
            <w:r>
              <w:rPr>
                <w:sz w:val="20"/>
              </w:rPr>
              <w:t>29101030</w:t>
            </w:r>
          </w:p>
          <w:p w14:paraId="7B2B9900" w14:textId="77777777" w:rsidR="00236DCC" w:rsidRDefault="00236DCC">
            <w:pPr>
              <w:widowControl w:val="0"/>
              <w:rPr>
                <w:sz w:val="20"/>
              </w:rPr>
            </w:pPr>
          </w:p>
        </w:tc>
        <w:tc>
          <w:tcPr>
            <w:tcW w:w="1702" w:type="dxa"/>
            <w:tcBorders>
              <w:top w:val="single" w:sz="4" w:space="0" w:color="000000"/>
              <w:left w:val="single" w:sz="4" w:space="0" w:color="000000"/>
              <w:bottom w:val="single" w:sz="4" w:space="0" w:color="000000"/>
              <w:right w:val="single" w:sz="4" w:space="0" w:color="000000"/>
            </w:tcBorders>
          </w:tcPr>
          <w:p w14:paraId="5299864A" w14:textId="77777777" w:rsidR="00236DCC" w:rsidRDefault="00236DCC">
            <w:pPr>
              <w:widowControl w:val="0"/>
              <w:rPr>
                <w:sz w:val="20"/>
              </w:rPr>
            </w:pPr>
          </w:p>
          <w:p w14:paraId="66C1B74C" w14:textId="51B8099A" w:rsidR="00236DCC" w:rsidRDefault="009D4B2E">
            <w:pPr>
              <w:widowControl w:val="0"/>
              <w:rPr>
                <w:sz w:val="20"/>
              </w:rPr>
            </w:pPr>
            <w:r>
              <w:rPr>
                <w:sz w:val="20"/>
              </w:rPr>
              <w:t>Jobcenter</w:t>
            </w:r>
          </w:p>
        </w:tc>
        <w:tc>
          <w:tcPr>
            <w:tcW w:w="850" w:type="dxa"/>
            <w:tcBorders>
              <w:top w:val="single" w:sz="4" w:space="0" w:color="000000"/>
              <w:left w:val="single" w:sz="4" w:space="0" w:color="000000"/>
              <w:bottom w:val="single" w:sz="4" w:space="0" w:color="000000"/>
              <w:right w:val="single" w:sz="4" w:space="0" w:color="000000"/>
            </w:tcBorders>
          </w:tcPr>
          <w:p w14:paraId="30A1C676" w14:textId="77777777" w:rsidR="00236DCC" w:rsidRDefault="00236DCC">
            <w:pPr>
              <w:widowControl w:val="0"/>
              <w:rPr>
                <w:sz w:val="20"/>
              </w:rPr>
            </w:pPr>
          </w:p>
          <w:p w14:paraId="49476D44" w14:textId="77777777" w:rsidR="00236DCC" w:rsidRDefault="009D4B2E">
            <w:pPr>
              <w:widowControl w:val="0"/>
              <w:rPr>
                <w:sz w:val="20"/>
              </w:rPr>
            </w:pPr>
            <w:r>
              <w:rPr>
                <w:sz w:val="20"/>
              </w:rPr>
              <w:t>A 12</w:t>
            </w:r>
          </w:p>
        </w:tc>
        <w:tc>
          <w:tcPr>
            <w:tcW w:w="1702" w:type="dxa"/>
            <w:tcBorders>
              <w:top w:val="single" w:sz="4" w:space="0" w:color="000000"/>
              <w:left w:val="single" w:sz="4" w:space="0" w:color="000000"/>
              <w:bottom w:val="single" w:sz="4" w:space="0" w:color="000000"/>
              <w:right w:val="single" w:sz="4" w:space="0" w:color="000000"/>
            </w:tcBorders>
          </w:tcPr>
          <w:p w14:paraId="54379FB8" w14:textId="77777777" w:rsidR="00236DCC" w:rsidRDefault="00236DCC">
            <w:pPr>
              <w:widowControl w:val="0"/>
              <w:rPr>
                <w:sz w:val="20"/>
              </w:rPr>
            </w:pPr>
          </w:p>
          <w:p w14:paraId="74F743C3" w14:textId="7EDAF4A3" w:rsidR="00236DCC" w:rsidRDefault="009D4B2E" w:rsidP="000A2483">
            <w:pPr>
              <w:widowControl w:val="0"/>
              <w:rPr>
                <w:sz w:val="20"/>
              </w:rPr>
            </w:pPr>
            <w:r>
              <w:rPr>
                <w:sz w:val="20"/>
              </w:rPr>
              <w:t>Sachbearbeiter</w:t>
            </w:r>
            <w:r w:rsidR="000A2483">
              <w:rPr>
                <w:sz w:val="20"/>
              </w:rPr>
              <w:t>/ -</w:t>
            </w:r>
            <w:r>
              <w:rPr>
                <w:sz w:val="20"/>
              </w:rPr>
              <w:t>in</w:t>
            </w:r>
          </w:p>
        </w:tc>
        <w:tc>
          <w:tcPr>
            <w:tcW w:w="851" w:type="dxa"/>
            <w:tcBorders>
              <w:top w:val="single" w:sz="4" w:space="0" w:color="000000"/>
              <w:left w:val="single" w:sz="4" w:space="0" w:color="000000"/>
              <w:bottom w:val="single" w:sz="4" w:space="0" w:color="000000"/>
              <w:right w:val="single" w:sz="4" w:space="0" w:color="000000"/>
            </w:tcBorders>
            <w:shd w:val="pct12" w:color="auto" w:fill="FFFFFF"/>
          </w:tcPr>
          <w:p w14:paraId="4CEF7B96" w14:textId="77777777" w:rsidR="00236DCC" w:rsidRDefault="00236DCC">
            <w:pPr>
              <w:widowControl w:val="0"/>
              <w:rPr>
                <w:sz w:val="20"/>
              </w:rPr>
            </w:pPr>
          </w:p>
          <w:p w14:paraId="1A650B20" w14:textId="77777777" w:rsidR="00236DCC" w:rsidRDefault="009D4B2E">
            <w:pPr>
              <w:widowControl w:val="0"/>
              <w:rPr>
                <w:sz w:val="20"/>
              </w:rPr>
            </w:pPr>
            <w:r>
              <w:rPr>
                <w:sz w:val="20"/>
              </w:rPr>
              <w:t>1,00</w:t>
            </w:r>
          </w:p>
        </w:tc>
        <w:tc>
          <w:tcPr>
            <w:tcW w:w="1133" w:type="dxa"/>
            <w:tcBorders>
              <w:top w:val="single" w:sz="4" w:space="0" w:color="000000"/>
              <w:left w:val="single" w:sz="4" w:space="0" w:color="000000"/>
              <w:bottom w:val="single" w:sz="4" w:space="0" w:color="000000"/>
              <w:right w:val="single" w:sz="4" w:space="0" w:color="000000"/>
            </w:tcBorders>
          </w:tcPr>
          <w:p w14:paraId="3168981A" w14:textId="77777777" w:rsidR="00236DCC" w:rsidRDefault="00236DCC">
            <w:pPr>
              <w:widowControl w:val="0"/>
              <w:rPr>
                <w:sz w:val="20"/>
              </w:rPr>
            </w:pPr>
          </w:p>
          <w:p w14:paraId="149FF03E" w14:textId="3820BCD5" w:rsidR="00236DCC" w:rsidRDefault="009D4B2E">
            <w:pPr>
              <w:widowControl w:val="0"/>
              <w:rPr>
                <w:sz w:val="20"/>
              </w:rPr>
            </w:pPr>
            <w:r>
              <w:fldChar w:fldCharType="begin">
                <w:ffData>
                  <w:name w:val="Bookmark2"/>
                  <w:enabled/>
                  <w:calcOnExit w:val="0"/>
                  <w:textInput/>
                </w:ffData>
              </w:fldChar>
            </w:r>
            <w:r>
              <w:rPr>
                <w:sz w:val="20"/>
              </w:rPr>
              <w:instrText xml:space="preserve"> FORMTEXT </w:instrText>
            </w:r>
            <w:r>
              <w:rPr>
                <w:sz w:val="20"/>
              </w:rPr>
            </w:r>
            <w:r>
              <w:rPr>
                <w:sz w:val="20"/>
              </w:rPr>
              <w:fldChar w:fldCharType="separate"/>
            </w:r>
            <w:r w:rsidR="000F7E08">
              <w:rPr>
                <w:noProof/>
                <w:sz w:val="20"/>
              </w:rPr>
              <w:t> </w:t>
            </w:r>
            <w:r w:rsidR="000F7E08">
              <w:rPr>
                <w:noProof/>
                <w:sz w:val="20"/>
              </w:rPr>
              <w:t> </w:t>
            </w:r>
            <w:r w:rsidR="000F7E08">
              <w:rPr>
                <w:noProof/>
                <w:sz w:val="20"/>
              </w:rPr>
              <w:t> </w:t>
            </w:r>
            <w:r w:rsidR="000F7E08">
              <w:rPr>
                <w:noProof/>
                <w:sz w:val="20"/>
              </w:rPr>
              <w:t> </w:t>
            </w:r>
            <w:r w:rsidR="000F7E08">
              <w:rPr>
                <w:noProof/>
                <w:sz w:val="20"/>
              </w:rPr>
              <w:t> </w:t>
            </w:r>
            <w:r>
              <w:rPr>
                <w:sz w:val="20"/>
              </w:rPr>
              <w:fldChar w:fldCharType="end"/>
            </w:r>
          </w:p>
        </w:tc>
        <w:tc>
          <w:tcPr>
            <w:tcW w:w="1588" w:type="dxa"/>
            <w:tcBorders>
              <w:top w:val="single" w:sz="4" w:space="0" w:color="000000"/>
              <w:left w:val="single" w:sz="4" w:space="0" w:color="000000"/>
              <w:bottom w:val="single" w:sz="4" w:space="0" w:color="000000"/>
              <w:right w:val="single" w:sz="4" w:space="0" w:color="000000"/>
            </w:tcBorders>
          </w:tcPr>
          <w:p w14:paraId="56D04959" w14:textId="77777777" w:rsidR="00236DCC" w:rsidRDefault="00236DCC">
            <w:pPr>
              <w:widowControl w:val="0"/>
              <w:rPr>
                <w:sz w:val="20"/>
              </w:rPr>
            </w:pPr>
          </w:p>
          <w:p w14:paraId="0F9AB879" w14:textId="488777FF" w:rsidR="00236DCC" w:rsidRDefault="00C1242D" w:rsidP="000A2483">
            <w:pPr>
              <w:widowControl w:val="0"/>
              <w:rPr>
                <w:sz w:val="20"/>
              </w:rPr>
            </w:pPr>
            <w:r>
              <w:rPr>
                <w:sz w:val="20"/>
              </w:rPr>
              <w:t>hh-neutral (</w:t>
            </w:r>
            <w:r w:rsidR="000A2483">
              <w:rPr>
                <w:sz w:val="20"/>
              </w:rPr>
              <w:t>117</w:t>
            </w:r>
            <w:r w:rsidR="009D4B2E">
              <w:rPr>
                <w:sz w:val="20"/>
              </w:rPr>
              <w:t>.</w:t>
            </w:r>
            <w:r w:rsidR="000A2483">
              <w:rPr>
                <w:sz w:val="20"/>
              </w:rPr>
              <w:t>1</w:t>
            </w:r>
            <w:r w:rsidR="009D4B2E">
              <w:rPr>
                <w:sz w:val="20"/>
              </w:rPr>
              <w:t>00*)</w:t>
            </w:r>
          </w:p>
        </w:tc>
      </w:tr>
    </w:tbl>
    <w:p w14:paraId="49FC7B9C" w14:textId="77777777" w:rsidR="00501811" w:rsidRPr="00501811" w:rsidRDefault="009D4B2E" w:rsidP="00501811">
      <w:pPr>
        <w:pStyle w:val="berschrift1"/>
        <w:spacing w:before="120"/>
        <w:rPr>
          <w:rFonts w:cs="Arial"/>
          <w:b w:val="0"/>
          <w:color w:val="000000"/>
          <w:sz w:val="16"/>
          <w:szCs w:val="16"/>
          <w:u w:val="none"/>
        </w:rPr>
      </w:pPr>
      <w:r w:rsidRPr="00501811">
        <w:rPr>
          <w:sz w:val="16"/>
          <w:szCs w:val="16"/>
          <w:u w:val="none"/>
        </w:rPr>
        <w:t>*)</w:t>
      </w:r>
      <w:r w:rsidRPr="00501811">
        <w:rPr>
          <w:rFonts w:ascii="Helv" w:hAnsi="Helv" w:cs="Helv"/>
          <w:color w:val="000000"/>
          <w:sz w:val="16"/>
          <w:szCs w:val="16"/>
          <w:u w:val="none"/>
        </w:rPr>
        <w:t xml:space="preserve">   </w:t>
      </w:r>
      <w:r w:rsidR="00501811" w:rsidRPr="00501811">
        <w:rPr>
          <w:rFonts w:cs="Arial"/>
          <w:b w:val="0"/>
          <w:color w:val="000000"/>
          <w:sz w:val="16"/>
          <w:szCs w:val="16"/>
          <w:u w:val="none"/>
        </w:rPr>
        <w:t>Gemäß Kommunalträger-Abrechnungsverwaltungsvorschrift (</w:t>
      </w:r>
      <w:proofErr w:type="spellStart"/>
      <w:r w:rsidR="00501811" w:rsidRPr="00501811">
        <w:rPr>
          <w:rFonts w:cs="Arial"/>
          <w:b w:val="0"/>
          <w:color w:val="000000"/>
          <w:sz w:val="16"/>
          <w:szCs w:val="16"/>
          <w:u w:val="none"/>
        </w:rPr>
        <w:t>KoA</w:t>
      </w:r>
      <w:proofErr w:type="spellEnd"/>
      <w:r w:rsidR="00501811" w:rsidRPr="00501811">
        <w:rPr>
          <w:rFonts w:cs="Arial"/>
          <w:b w:val="0"/>
          <w:color w:val="000000"/>
          <w:sz w:val="16"/>
          <w:szCs w:val="16"/>
          <w:u w:val="none"/>
        </w:rPr>
        <w:t>-VV) erfolgt die Abrechnung der Personalkosten fachspezifischer Stellen mit dem Bund spitz, für die Personalneben-, Sach- und Gemeinkosten werden Pauschalen zugrunde gelegt. Der Anteil des Bundes an den Kosten beträgt 84,8 Prozent, der kommunale Finanzierungsanteil (KFA) beträgt 15,2 Prozent.</w:t>
      </w:r>
    </w:p>
    <w:p w14:paraId="761EEE61" w14:textId="77777777" w:rsidR="00501811" w:rsidRDefault="00501811" w:rsidP="00501811">
      <w:pPr>
        <w:rPr>
          <w:rFonts w:cs="Arial"/>
          <w:color w:val="000000"/>
          <w:sz w:val="16"/>
          <w:szCs w:val="16"/>
        </w:rPr>
      </w:pPr>
      <w:r>
        <w:rPr>
          <w:rFonts w:cs="Arial"/>
          <w:color w:val="000000"/>
          <w:sz w:val="16"/>
          <w:szCs w:val="16"/>
        </w:rPr>
        <w:t xml:space="preserve">      </w:t>
      </w:r>
      <w:r w:rsidRPr="00501811">
        <w:rPr>
          <w:rFonts w:cs="Arial"/>
          <w:color w:val="000000"/>
          <w:sz w:val="16"/>
          <w:szCs w:val="16"/>
        </w:rPr>
        <w:t xml:space="preserve">Soweit die Stelle mit einem/einer Beschäftigten nach TVöD besetzt wird, übersteigt die Erstattung des Bundes - inklusive aller </w:t>
      </w:r>
      <w:r>
        <w:rPr>
          <w:rFonts w:cs="Arial"/>
          <w:color w:val="000000"/>
          <w:sz w:val="16"/>
          <w:szCs w:val="16"/>
        </w:rPr>
        <w:t xml:space="preserve">  </w:t>
      </w:r>
    </w:p>
    <w:p w14:paraId="1BABEFDC" w14:textId="77777777" w:rsidR="00501811" w:rsidRDefault="00501811" w:rsidP="00501811">
      <w:pPr>
        <w:rPr>
          <w:rFonts w:cs="Arial"/>
          <w:color w:val="000000"/>
          <w:sz w:val="16"/>
          <w:szCs w:val="16"/>
        </w:rPr>
      </w:pPr>
      <w:r>
        <w:rPr>
          <w:rFonts w:cs="Arial"/>
          <w:color w:val="000000"/>
          <w:sz w:val="16"/>
          <w:szCs w:val="16"/>
        </w:rPr>
        <w:t xml:space="preserve">      </w:t>
      </w:r>
      <w:r w:rsidRPr="00501811">
        <w:rPr>
          <w:rFonts w:cs="Arial"/>
          <w:color w:val="000000"/>
          <w:sz w:val="16"/>
          <w:szCs w:val="16"/>
        </w:rPr>
        <w:t xml:space="preserve">Pauschalen - den kostenwirksamen Aufwand, der bei der LHS für die Stelle entsteht. Wird die Stelle mit einem Beamten/einer </w:t>
      </w:r>
    </w:p>
    <w:p w14:paraId="2E1D7EB3" w14:textId="77777777" w:rsidR="00501811" w:rsidRDefault="00501811" w:rsidP="00501811">
      <w:pPr>
        <w:rPr>
          <w:rFonts w:cs="Arial"/>
          <w:color w:val="000000"/>
          <w:sz w:val="16"/>
          <w:szCs w:val="16"/>
        </w:rPr>
      </w:pPr>
      <w:r>
        <w:rPr>
          <w:rFonts w:cs="Arial"/>
          <w:color w:val="000000"/>
          <w:sz w:val="16"/>
          <w:szCs w:val="16"/>
        </w:rPr>
        <w:t xml:space="preserve">      </w:t>
      </w:r>
      <w:r w:rsidRPr="00501811">
        <w:rPr>
          <w:rFonts w:cs="Arial"/>
          <w:color w:val="000000"/>
          <w:sz w:val="16"/>
          <w:szCs w:val="16"/>
        </w:rPr>
        <w:t xml:space="preserve">Beamtin besetzt, kommt es in Höhe der Differenz der Versorgungsaufwendungen der LHS und der anzusetzenden Pauschale </w:t>
      </w:r>
    </w:p>
    <w:p w14:paraId="3C926036" w14:textId="77777777" w:rsidR="00501811" w:rsidRDefault="00501811">
      <w:pPr>
        <w:rPr>
          <w:sz w:val="16"/>
          <w:szCs w:val="16"/>
        </w:rPr>
      </w:pPr>
      <w:r>
        <w:rPr>
          <w:rFonts w:cs="Arial"/>
          <w:color w:val="000000"/>
          <w:sz w:val="16"/>
          <w:szCs w:val="16"/>
        </w:rPr>
        <w:t xml:space="preserve">      </w:t>
      </w:r>
      <w:r w:rsidRPr="00501811">
        <w:rPr>
          <w:rFonts w:cs="Arial"/>
          <w:color w:val="000000"/>
          <w:sz w:val="16"/>
          <w:szCs w:val="16"/>
        </w:rPr>
        <w:t>von 35 Prozent zu einem Finanzierungsbedarf.</w:t>
      </w:r>
      <w:r w:rsidR="009D4B2E">
        <w:rPr>
          <w:sz w:val="16"/>
          <w:szCs w:val="16"/>
        </w:rPr>
        <w:tab/>
      </w:r>
    </w:p>
    <w:p w14:paraId="4AC3A467" w14:textId="77777777" w:rsidR="00236DCC" w:rsidRDefault="009D4B2E">
      <w:pPr>
        <w:pStyle w:val="berschrift1"/>
      </w:pPr>
      <w:r>
        <w:t>1. Antra</w:t>
      </w:r>
      <w:r>
        <w:rPr>
          <w:u w:val="none"/>
        </w:rPr>
        <w:t>g</w:t>
      </w:r>
      <w:r>
        <w:t>, Stellenausstattun</w:t>
      </w:r>
      <w:r>
        <w:rPr>
          <w:u w:val="none"/>
        </w:rPr>
        <w:t>g</w:t>
      </w:r>
    </w:p>
    <w:p w14:paraId="4E86E772" w14:textId="77777777" w:rsidR="00236DCC" w:rsidRDefault="00236DCC"/>
    <w:p w14:paraId="2869ED10" w14:textId="2E185AF7" w:rsidR="005E1D11" w:rsidRPr="00625940" w:rsidRDefault="005E1D11" w:rsidP="005E1D11">
      <w:pPr>
        <w:autoSpaceDE w:val="0"/>
        <w:autoSpaceDN w:val="0"/>
        <w:adjustRightInd w:val="0"/>
      </w:pPr>
      <w:r>
        <w:t>Der</w:t>
      </w:r>
      <w:r w:rsidRPr="00D40C2E">
        <w:t xml:space="preserve"> </w:t>
      </w:r>
      <w:r>
        <w:t>Schaffung der o.</w:t>
      </w:r>
      <w:r w:rsidR="000A2483">
        <w:t xml:space="preserve"> </w:t>
      </w:r>
      <w:r>
        <w:t>g. Stelle für die Durchführung von Schlichtungsverfahren wird zugestimmt</w:t>
      </w:r>
      <w:r w:rsidRPr="00625940">
        <w:t>.</w:t>
      </w:r>
    </w:p>
    <w:p w14:paraId="02B840D4" w14:textId="77777777" w:rsidR="00236DCC" w:rsidRDefault="009D4B2E">
      <w:pPr>
        <w:pStyle w:val="berschrift1"/>
      </w:pPr>
      <w:r>
        <w:t>2</w:t>
      </w:r>
      <w:r>
        <w:tab/>
        <w:t>Schaffun</w:t>
      </w:r>
      <w:r>
        <w:rPr>
          <w:u w:val="none"/>
        </w:rPr>
        <w:t>g</w:t>
      </w:r>
      <w:r>
        <w:t>skriterien</w:t>
      </w:r>
    </w:p>
    <w:p w14:paraId="719BB976" w14:textId="77777777" w:rsidR="00236DCC" w:rsidRDefault="00236DCC"/>
    <w:p w14:paraId="7E26E9C3" w14:textId="2F84DC8F" w:rsidR="005E1D11" w:rsidRDefault="00EE134D" w:rsidP="00EE134D">
      <w:r>
        <w:t>Die Kriterien „Erfüllung neuer, zwingender gesetzlicher Vorschriften“ und</w:t>
      </w:r>
      <w:r w:rsidR="005E1D11">
        <w:t xml:space="preserve"> Haushaltsneutralität </w:t>
      </w:r>
      <w:r>
        <w:t>sind</w:t>
      </w:r>
      <w:r w:rsidR="005E1D11">
        <w:t xml:space="preserve"> im Umfang von 1,0 </w:t>
      </w:r>
      <w:r w:rsidR="000A2483">
        <w:t xml:space="preserve">Stelle </w:t>
      </w:r>
      <w:r w:rsidR="005E1D11">
        <w:t xml:space="preserve">erfüllt. </w:t>
      </w:r>
      <w:r w:rsidR="005E1D11" w:rsidRPr="005E1D11">
        <w:t>Das BMAS hat bestätigt, dass Schiedspersonen nach § 15a Abs.1 Satz 2 SGB II fachspezifische Aufgaben wahrnehmen und damit spitz abgerechnet werden können. In einer Ne</w:t>
      </w:r>
      <w:r w:rsidR="000A2483">
        <w:t>ufassung der Kommentierung zu § </w:t>
      </w:r>
      <w:r w:rsidR="005E1D11" w:rsidRPr="005E1D11">
        <w:t xml:space="preserve">10 Abs. 1 </w:t>
      </w:r>
      <w:proofErr w:type="spellStart"/>
      <w:r w:rsidR="005E1D11" w:rsidRPr="005E1D11">
        <w:t>KoA</w:t>
      </w:r>
      <w:proofErr w:type="spellEnd"/>
      <w:r w:rsidR="005E1D11" w:rsidRPr="005E1D11">
        <w:t>-VV wird die Funktion in die "Positivliste" aufgenommen.</w:t>
      </w:r>
      <w:r w:rsidR="005E1D11">
        <w:t xml:space="preserve"> </w:t>
      </w:r>
    </w:p>
    <w:p w14:paraId="35E2E563" w14:textId="77777777" w:rsidR="00236DCC" w:rsidRDefault="009D4B2E">
      <w:pPr>
        <w:pStyle w:val="berschrift1"/>
      </w:pPr>
      <w:r>
        <w:t>3</w:t>
      </w:r>
      <w:r>
        <w:tab/>
        <w:t>Bedarf</w:t>
      </w:r>
    </w:p>
    <w:p w14:paraId="5C86D111" w14:textId="77777777" w:rsidR="00236DCC" w:rsidRDefault="009D4B2E">
      <w:pPr>
        <w:pStyle w:val="berschrift2"/>
      </w:pPr>
      <w:r>
        <w:t>3.1</w:t>
      </w:r>
      <w:r>
        <w:tab/>
        <w:t>Anlass</w:t>
      </w:r>
    </w:p>
    <w:p w14:paraId="3B0F6BAB" w14:textId="77777777" w:rsidR="00236DCC" w:rsidRDefault="00236DCC">
      <w:pPr>
        <w:tabs>
          <w:tab w:val="left" w:pos="-720"/>
          <w:tab w:val="left" w:pos="0"/>
          <w:tab w:val="left" w:pos="720"/>
          <w:tab w:val="left" w:pos="1440"/>
          <w:tab w:val="left" w:pos="2160"/>
          <w:tab w:val="left" w:pos="2880"/>
          <w:tab w:val="left" w:pos="3600"/>
          <w:tab w:val="left" w:pos="4320"/>
        </w:tabs>
        <w:rPr>
          <w:rFonts w:cs="Arial"/>
          <w:color w:val="000000"/>
        </w:rPr>
      </w:pPr>
    </w:p>
    <w:p w14:paraId="59A24793" w14:textId="77777777" w:rsidR="005E1D11" w:rsidRDefault="005E1D11" w:rsidP="005E1D11">
      <w:r>
        <w:t xml:space="preserve">Das Zwölfte Gesetz zur Änderung des Zweiten Buches Sozialgesetzbuch und anderer Gesetze – Einführung eines Bürgergeldes (Bürgergeld-Gesetz), das zum 01.01. bzw. 01.07.2023 in Kraft tritt, sieht vor, sollte die Durchführung oder die Fortschreibung eines Kooperationsplans aufgrund von Meinungsverschiedenheiten zwischen Jobcenter und leistungsberechtigter Person nicht möglich sein, auf Verlangen einer oder beider Seiten ein Schlichtungsverfahren einzuleiten. </w:t>
      </w:r>
    </w:p>
    <w:p w14:paraId="41A0C50B" w14:textId="77777777" w:rsidR="005E1D11" w:rsidRDefault="005E1D11">
      <w:pPr>
        <w:tabs>
          <w:tab w:val="left" w:pos="-720"/>
          <w:tab w:val="left" w:pos="0"/>
          <w:tab w:val="left" w:pos="720"/>
          <w:tab w:val="left" w:pos="1440"/>
          <w:tab w:val="left" w:pos="2160"/>
          <w:tab w:val="left" w:pos="2880"/>
          <w:tab w:val="left" w:pos="3600"/>
          <w:tab w:val="left" w:pos="4320"/>
        </w:tabs>
        <w:rPr>
          <w:rFonts w:cs="Arial"/>
          <w:color w:val="000000"/>
        </w:rPr>
      </w:pPr>
    </w:p>
    <w:p w14:paraId="4FB40D63" w14:textId="2F43C233" w:rsidR="00236DCC" w:rsidRDefault="009D4B2E">
      <w:pPr>
        <w:tabs>
          <w:tab w:val="left" w:pos="-720"/>
          <w:tab w:val="left" w:pos="0"/>
          <w:tab w:val="left" w:pos="720"/>
          <w:tab w:val="left" w:pos="1440"/>
          <w:tab w:val="left" w:pos="2160"/>
          <w:tab w:val="left" w:pos="2880"/>
          <w:tab w:val="left" w:pos="3600"/>
          <w:tab w:val="left" w:pos="4320"/>
        </w:tabs>
        <w:rPr>
          <w:rFonts w:cs="Arial"/>
          <w:color w:val="000000"/>
        </w:rPr>
      </w:pPr>
      <w:r>
        <w:rPr>
          <w:rFonts w:cs="Arial"/>
          <w:color w:val="000000"/>
        </w:rPr>
        <w:lastRenderedPageBreak/>
        <w:t>§</w:t>
      </w:r>
      <w:r w:rsidR="001619A9">
        <w:rPr>
          <w:rFonts w:cs="Arial"/>
          <w:color w:val="000000"/>
        </w:rPr>
        <w:t xml:space="preserve"> 15a</w:t>
      </w:r>
      <w:r>
        <w:rPr>
          <w:rFonts w:cs="Arial"/>
          <w:color w:val="000000"/>
        </w:rPr>
        <w:t xml:space="preserve"> SGB II des Bürgergeld-Gesetzes ermöglicht im Konfliktfall auf Wunsch der erwerbsfähigen Leistungsberechtigten die Hinzuziehung einer zuvor unbeteiligten Person durch das Jobcenter, entweder eine</w:t>
      </w:r>
      <w:r w:rsidR="000A2483">
        <w:rPr>
          <w:rFonts w:cs="Arial"/>
          <w:color w:val="000000"/>
        </w:rPr>
        <w:t>/-n</w:t>
      </w:r>
      <w:r>
        <w:rPr>
          <w:rFonts w:cs="Arial"/>
          <w:color w:val="000000"/>
        </w:rPr>
        <w:t xml:space="preserve"> Mitarbeiter</w:t>
      </w:r>
      <w:r w:rsidR="000A2483">
        <w:rPr>
          <w:rFonts w:cs="Arial"/>
          <w:color w:val="000000"/>
        </w:rPr>
        <w:t>/-</w:t>
      </w:r>
      <w:r>
        <w:rPr>
          <w:rFonts w:cs="Arial"/>
          <w:color w:val="000000"/>
        </w:rPr>
        <w:t xml:space="preserve">in </w:t>
      </w:r>
      <w:proofErr w:type="gramStart"/>
      <w:r>
        <w:rPr>
          <w:rFonts w:cs="Arial"/>
          <w:color w:val="000000"/>
        </w:rPr>
        <w:t>des Jobcenters</w:t>
      </w:r>
      <w:proofErr w:type="gramEnd"/>
      <w:r>
        <w:rPr>
          <w:rFonts w:cs="Arial"/>
          <w:color w:val="000000"/>
        </w:rPr>
        <w:t xml:space="preserve"> oder aber eine externe Vertrauensperson. Die Ausgestaltung des Schlichtungsmechanismus liegt in der Verantwortung der jeweiligen Jobcenter. Das Jobcenter Stuttgart hat sich dafür entschieden, das Schlichtungsverfahren selbst durchzuführen, dazu ist die Schaffung </w:t>
      </w:r>
      <w:r w:rsidR="000A2483">
        <w:rPr>
          <w:rFonts w:cs="Arial"/>
          <w:color w:val="000000"/>
        </w:rPr>
        <w:t>von</w:t>
      </w:r>
      <w:r>
        <w:rPr>
          <w:rFonts w:cs="Arial"/>
          <w:color w:val="000000"/>
        </w:rPr>
        <w:t xml:space="preserve"> 1,0 Stelle in A</w:t>
      </w:r>
      <w:r w:rsidR="000A2483">
        <w:rPr>
          <w:rFonts w:cs="Arial"/>
          <w:color w:val="000000"/>
        </w:rPr>
        <w:t xml:space="preserve"> </w:t>
      </w:r>
      <w:r>
        <w:rPr>
          <w:rFonts w:cs="Arial"/>
          <w:color w:val="000000"/>
        </w:rPr>
        <w:t xml:space="preserve">12 erforderlich. </w:t>
      </w:r>
    </w:p>
    <w:p w14:paraId="4972795D" w14:textId="77777777" w:rsidR="00236DCC" w:rsidRDefault="00236DCC">
      <w:pPr>
        <w:tabs>
          <w:tab w:val="left" w:pos="-720"/>
          <w:tab w:val="left" w:pos="0"/>
          <w:tab w:val="left" w:pos="720"/>
          <w:tab w:val="left" w:pos="1440"/>
          <w:tab w:val="left" w:pos="2160"/>
          <w:tab w:val="left" w:pos="2880"/>
          <w:tab w:val="left" w:pos="3600"/>
          <w:tab w:val="left" w:pos="4320"/>
        </w:tabs>
        <w:rPr>
          <w:rFonts w:cs="Arial"/>
          <w:color w:val="000000"/>
        </w:rPr>
      </w:pPr>
    </w:p>
    <w:p w14:paraId="47A6BBED" w14:textId="77777777" w:rsidR="00236DCC" w:rsidRDefault="009D4B2E">
      <w:pPr>
        <w:tabs>
          <w:tab w:val="left" w:pos="-720"/>
          <w:tab w:val="left" w:pos="0"/>
          <w:tab w:val="left" w:pos="720"/>
          <w:tab w:val="left" w:pos="1440"/>
          <w:tab w:val="left" w:pos="2160"/>
          <w:tab w:val="left" w:pos="2880"/>
          <w:tab w:val="left" w:pos="3600"/>
          <w:tab w:val="left" w:pos="4320"/>
        </w:tabs>
        <w:rPr>
          <w:rFonts w:cs="Arial"/>
          <w:color w:val="000000"/>
        </w:rPr>
      </w:pPr>
      <w:r>
        <w:rPr>
          <w:rFonts w:cs="Arial"/>
          <w:color w:val="000000"/>
        </w:rPr>
        <w:t xml:space="preserve">Eine Schlichtung kommt dann in Frage, wenn es zwischen Leistungsberechtigten und Mitarbeitenden des Jobcenters bei der Erstellung, Durchführung oder Fortschreibung des Kooperationsplans zu einem Konflikt kommt. </w:t>
      </w:r>
    </w:p>
    <w:p w14:paraId="62845673" w14:textId="77777777" w:rsidR="00236DCC" w:rsidRDefault="00236DCC">
      <w:pPr>
        <w:tabs>
          <w:tab w:val="left" w:pos="-720"/>
          <w:tab w:val="left" w:pos="0"/>
          <w:tab w:val="left" w:pos="720"/>
          <w:tab w:val="left" w:pos="1440"/>
          <w:tab w:val="left" w:pos="2160"/>
          <w:tab w:val="left" w:pos="2880"/>
          <w:tab w:val="left" w:pos="3600"/>
          <w:tab w:val="left" w:pos="4320"/>
        </w:tabs>
        <w:rPr>
          <w:rFonts w:cs="Arial"/>
          <w:color w:val="000000"/>
        </w:rPr>
      </w:pPr>
    </w:p>
    <w:p w14:paraId="09F57470" w14:textId="535D2903" w:rsidR="00236DCC" w:rsidRDefault="009D4B2E">
      <w:pPr>
        <w:tabs>
          <w:tab w:val="left" w:pos="-720"/>
          <w:tab w:val="left" w:pos="0"/>
          <w:tab w:val="left" w:pos="720"/>
          <w:tab w:val="left" w:pos="1440"/>
          <w:tab w:val="left" w:pos="2160"/>
          <w:tab w:val="left" w:pos="2880"/>
          <w:tab w:val="left" w:pos="3600"/>
          <w:tab w:val="left" w:pos="4320"/>
        </w:tabs>
        <w:rPr>
          <w:rFonts w:cs="Arial"/>
          <w:color w:val="000000"/>
        </w:rPr>
      </w:pPr>
      <w:r>
        <w:rPr>
          <w:rFonts w:cs="Arial"/>
          <w:color w:val="000000"/>
        </w:rPr>
        <w:t>Der Kooperationsplan als Kernelement des Bürgergeld-Gesetzes ersetzt zukünftig die Eingliederungsvereinbarung. Er dokumentiert die gemeinsam entwickelte Eingliederungsstrategie und enthält, anders als die Eingliederungsvereinbarung, keine Rechtsfolgenbelehrung und unterstreicht damit die vertrauensvolle Zusammenarbeit zwischen Leistungsberechtigten und persönlichen Ansprechpartner</w:t>
      </w:r>
      <w:r w:rsidR="000A2483">
        <w:rPr>
          <w:rFonts w:cs="Arial"/>
          <w:color w:val="000000"/>
        </w:rPr>
        <w:t>n/-</w:t>
      </w:r>
      <w:r>
        <w:rPr>
          <w:rFonts w:cs="Arial"/>
          <w:color w:val="000000"/>
        </w:rPr>
        <w:t xml:space="preserve">innen. Die Schlichtungsstelle stärkt zusätzlich die Intention des Gesetzes, kooperativ und vertrauensvoll zusammenzuarbeiten. </w:t>
      </w:r>
    </w:p>
    <w:p w14:paraId="2880AD6D" w14:textId="77777777" w:rsidR="00236DCC" w:rsidRDefault="00236DCC">
      <w:pPr>
        <w:tabs>
          <w:tab w:val="left" w:pos="-720"/>
          <w:tab w:val="left" w:pos="0"/>
          <w:tab w:val="left" w:pos="720"/>
          <w:tab w:val="left" w:pos="1440"/>
          <w:tab w:val="left" w:pos="2160"/>
          <w:tab w:val="left" w:pos="2880"/>
          <w:tab w:val="left" w:pos="3600"/>
          <w:tab w:val="left" w:pos="4320"/>
        </w:tabs>
      </w:pPr>
    </w:p>
    <w:p w14:paraId="6B8A0609" w14:textId="77777777" w:rsidR="00236DCC" w:rsidRDefault="009D4B2E">
      <w:pPr>
        <w:pStyle w:val="berschrift2"/>
      </w:pPr>
      <w:r>
        <w:t>3.2</w:t>
      </w:r>
      <w:r>
        <w:tab/>
        <w:t>Bisherige Aufgabenwahrnehmung</w:t>
      </w:r>
    </w:p>
    <w:p w14:paraId="29168680" w14:textId="77777777" w:rsidR="00236DCC" w:rsidRDefault="00236DCC"/>
    <w:p w14:paraId="6032A075" w14:textId="77777777" w:rsidR="00236DCC" w:rsidRDefault="009D4B2E">
      <w:r>
        <w:t xml:space="preserve">Die Aufgabe wurde bisher nicht wahrgenommen, da sie nicht gesetzlich verankert war. </w:t>
      </w:r>
    </w:p>
    <w:p w14:paraId="11429F0B" w14:textId="77777777" w:rsidR="00236DCC" w:rsidRDefault="009D4B2E">
      <w:pPr>
        <w:pStyle w:val="berschrift2"/>
      </w:pPr>
      <w:r>
        <w:t>3.3</w:t>
      </w:r>
      <w:r>
        <w:tab/>
        <w:t>Auswirkungen bei Ablehnung der Stellenschaffungen</w:t>
      </w:r>
    </w:p>
    <w:p w14:paraId="43DC2A1C" w14:textId="77777777" w:rsidR="00236DCC" w:rsidRDefault="00236DCC"/>
    <w:p w14:paraId="70484817" w14:textId="1A39C748" w:rsidR="00236DCC" w:rsidRPr="009D4B2E" w:rsidRDefault="009D4B2E">
      <w:pPr>
        <w:rPr>
          <w:highlight w:val="lightGray"/>
        </w:rPr>
      </w:pPr>
      <w:r>
        <w:t>Der im Bürgergeld-Gesetz vorgeschriebene</w:t>
      </w:r>
      <w:r w:rsidR="000F7E08">
        <w:t>n</w:t>
      </w:r>
      <w:r>
        <w:t xml:space="preserve"> Aufgabe kann nicht nachgekommen werden. </w:t>
      </w:r>
      <w:r w:rsidRPr="00413D77">
        <w:rPr>
          <w:rFonts w:cs="Arial"/>
          <w:color w:val="000000"/>
        </w:rPr>
        <w:t xml:space="preserve">Die Beauftragung einer externen Stelle bzw. externer Stellen ist/sind kosten- und zeitintensiver. Die Durchführung des Schlichtungsverfahrens ist auszuschreiben. Aufgrund der komplexen Rechtsmaterie ist davon auszugehen, dass sich vorzugsweise Anwälte auf die Ausschreibung bewerben werden, die vermutlich mindestens einen Stundenkostensatz von ca. 100 </w:t>
      </w:r>
      <w:r w:rsidR="000A2483">
        <w:rPr>
          <w:rFonts w:cs="Arial"/>
          <w:color w:val="000000"/>
        </w:rPr>
        <w:t>€</w:t>
      </w:r>
      <w:r w:rsidRPr="00413D77">
        <w:rPr>
          <w:rFonts w:cs="Arial"/>
          <w:color w:val="000000"/>
        </w:rPr>
        <w:t xml:space="preserve"> verlangen werden. Die Kosten würden sich </w:t>
      </w:r>
      <w:bookmarkStart w:id="0" w:name="_GoBack"/>
      <w:bookmarkEnd w:id="0"/>
      <w:r w:rsidRPr="00413D77">
        <w:rPr>
          <w:rFonts w:cs="Arial"/>
          <w:color w:val="000000"/>
        </w:rPr>
        <w:t xml:space="preserve">somit bereits auf 172.000 </w:t>
      </w:r>
      <w:r w:rsidR="000A2483">
        <w:rPr>
          <w:rFonts w:cs="Arial"/>
          <w:color w:val="000000"/>
        </w:rPr>
        <w:t>€</w:t>
      </w:r>
      <w:r w:rsidRPr="00413D77">
        <w:rPr>
          <w:rFonts w:cs="Arial"/>
          <w:color w:val="000000"/>
        </w:rPr>
        <w:t xml:space="preserve"> belaufen, zusätzlich würden möglicherweise noch Raum- und Sachkosten geltend gemacht werden.</w:t>
      </w:r>
      <w:r w:rsidRPr="009D4B2E">
        <w:rPr>
          <w:highlight w:val="lightGray"/>
        </w:rPr>
        <w:t xml:space="preserve"> </w:t>
      </w:r>
    </w:p>
    <w:p w14:paraId="200284FB" w14:textId="77777777" w:rsidR="00236DCC" w:rsidRDefault="009D4B2E">
      <w:pPr>
        <w:pStyle w:val="berschrift1"/>
      </w:pPr>
      <w:r>
        <w:t>4</w:t>
      </w:r>
      <w:r>
        <w:tab/>
        <w:t>Stellenvermerke</w:t>
      </w:r>
    </w:p>
    <w:p w14:paraId="1BB456F2" w14:textId="77777777" w:rsidR="00236DCC" w:rsidRDefault="00236DCC"/>
    <w:p w14:paraId="70783982" w14:textId="77777777" w:rsidR="00236DCC" w:rsidRDefault="00EE134D">
      <w:r>
        <w:t>-</w:t>
      </w:r>
    </w:p>
    <w:sectPr w:rsidR="00236DCC">
      <w:headerReference w:type="default" r:id="rId6"/>
      <w:pgSz w:w="11906" w:h="16838"/>
      <w:pgMar w:top="1418" w:right="1134" w:bottom="1418" w:left="1418" w:header="709"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1360" w14:textId="77777777" w:rsidR="00FD6BDD" w:rsidRDefault="009D4B2E">
      <w:r>
        <w:separator/>
      </w:r>
    </w:p>
  </w:endnote>
  <w:endnote w:type="continuationSeparator" w:id="0">
    <w:p w14:paraId="1DD9F20D" w14:textId="77777777" w:rsidR="00FD6BDD" w:rsidRDefault="009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3970" w14:textId="77777777" w:rsidR="00FD6BDD" w:rsidRDefault="009D4B2E">
      <w:r>
        <w:separator/>
      </w:r>
    </w:p>
  </w:footnote>
  <w:footnote w:type="continuationSeparator" w:id="0">
    <w:p w14:paraId="4BCF6140" w14:textId="77777777" w:rsidR="00FD6BDD" w:rsidRDefault="009D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820C" w14:textId="77777777" w:rsidR="00236DCC" w:rsidRDefault="009D4B2E">
    <w:pPr>
      <w:pStyle w:val="Kopfzeile"/>
    </w:pPr>
    <w:r>
      <w:rPr>
        <w:noProof/>
      </w:rPr>
      <mc:AlternateContent>
        <mc:Choice Requires="wps">
          <w:drawing>
            <wp:anchor distT="0" distB="0" distL="0" distR="0" simplePos="0" relativeHeight="3" behindDoc="0" locked="0" layoutInCell="0" allowOverlap="1" wp14:anchorId="54FA6712" wp14:editId="255110DB">
              <wp:simplePos x="0" y="0"/>
              <wp:positionH relativeFrom="page">
                <wp:align>center</wp:align>
              </wp:positionH>
              <wp:positionV relativeFrom="page">
                <wp:posOffset>450850</wp:posOffset>
              </wp:positionV>
              <wp:extent cx="272415" cy="175260"/>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272415" cy="175260"/>
                      </a:xfrm>
                      <a:prstGeom prst="rect">
                        <a:avLst/>
                      </a:prstGeom>
                      <a:solidFill>
                        <a:srgbClr val="FFFFFF">
                          <a:alpha val="0"/>
                        </a:srgbClr>
                      </a:solidFill>
                    </wps:spPr>
                    <wps:txbx>
                      <w:txbxContent>
                        <w:p w14:paraId="320069F1" w14:textId="28EFC30B" w:rsidR="00236DCC" w:rsidRDefault="009D4B2E">
                          <w:pP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F7E08">
                            <w:rPr>
                              <w:rStyle w:val="Seitenzahl"/>
                              <w:noProof/>
                            </w:rPr>
                            <w:t>2</w:t>
                          </w:r>
                          <w:r>
                            <w:rPr>
                              <w:rStyle w:val="Seitenzahl"/>
                            </w:rPr>
                            <w:fldChar w:fldCharType="end"/>
                          </w:r>
                          <w:r>
                            <w:rPr>
                              <w:rStyle w:val="Seitenzahl"/>
                            </w:rPr>
                            <w:t xml:space="preserve"> -</w:t>
                          </w:r>
                        </w:p>
                      </w:txbxContent>
                    </wps:txbx>
                    <wps:bodyPr lIns="0" tIns="0" rIns="0" bIns="0" anchor="t">
                      <a:spAutoFit/>
                    </wps:bodyPr>
                  </wps:wsp>
                </a:graphicData>
              </a:graphic>
            </wp:anchor>
          </w:drawing>
        </mc:Choice>
        <mc:Fallback>
          <w:pict>
            <v:shapetype w14:anchorId="54FA6712" id="_x0000_t202" coordsize="21600,21600" o:spt="202" path="m,l,21600r21600,l21600,xe">
              <v:stroke joinstyle="miter"/>
              <v:path gradientshapeok="t" o:connecttype="rect"/>
            </v:shapetype>
            <v:shape id="Rahmen1" o:spid="_x0000_s1026" type="#_x0000_t202" style="position:absolute;margin-left:0;margin-top:35.5pt;width:21.45pt;height:13.8pt;z-index:3;visibility:visible;mso-wrap-style:squar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" o:allowincell="f" stroked="f">
              <v:fill opacity="0"/>
              <v:textbox style="mso-fit-shape-to-text:t" inset="0,0,0,0">
                <w:txbxContent>
                  <w:p w14:paraId="320069F1" w14:textId="28EFC30B" w:rsidR="00236DCC" w:rsidRDefault="009D4B2E">
                    <w:pP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F7E08">
                      <w:rPr>
                        <w:rStyle w:val="Seitenzahl"/>
                        <w:noProof/>
                      </w:rPr>
                      <w:t>2</w:t>
                    </w:r>
                    <w:r>
                      <w:rPr>
                        <w:rStyle w:val="Seitenzahl"/>
                      </w:rPr>
                      <w:fldChar w:fldCharType="end"/>
                    </w:r>
                    <w:r>
                      <w:rPr>
                        <w:rStyle w:val="Seitenzahl"/>
                      </w:rPr>
                      <w:t xml:space="preserve"> -</w:t>
                    </w:r>
                  </w:p>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CC"/>
    <w:rsid w:val="000A2483"/>
    <w:rsid w:val="000F7E08"/>
    <w:rsid w:val="001619A9"/>
    <w:rsid w:val="00236DCC"/>
    <w:rsid w:val="00413D77"/>
    <w:rsid w:val="00501811"/>
    <w:rsid w:val="00536278"/>
    <w:rsid w:val="005E1D11"/>
    <w:rsid w:val="00760CDA"/>
    <w:rsid w:val="009D4B2E"/>
    <w:rsid w:val="00C1242D"/>
    <w:rsid w:val="00EE134D"/>
    <w:rsid w:val="00FD6BD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11FF"/>
  <w15:docId w15:val="{C94A3E84-FB68-4405-A227-CE274B40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pPr>
      <w:suppressAutoHyphens w:val="0"/>
    </w:p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165C0D"/>
    <w:rPr>
      <w:rFonts w:ascii="Arial" w:hAnsi="Arial"/>
      <w:sz w:val="24"/>
    </w:rPr>
  </w:style>
  <w:style w:type="character" w:styleId="Kommentarzeichen">
    <w:name w:val="annotation reference"/>
    <w:basedOn w:val="Absatz-Standardschriftart"/>
    <w:semiHidden/>
    <w:unhideWhenUsed/>
    <w:qFormat/>
    <w:rsid w:val="006764AB"/>
    <w:rPr>
      <w:sz w:val="16"/>
      <w:szCs w:val="16"/>
    </w:rPr>
  </w:style>
  <w:style w:type="character" w:customStyle="1" w:styleId="KommentartextZchn">
    <w:name w:val="Kommentartext Zchn"/>
    <w:basedOn w:val="Absatz-Standardschriftart"/>
    <w:link w:val="Kommentartext"/>
    <w:semiHidden/>
    <w:qFormat/>
    <w:rsid w:val="006764AB"/>
    <w:rPr>
      <w:sz w:val="20"/>
      <w:szCs w:val="20"/>
    </w:rPr>
  </w:style>
  <w:style w:type="character" w:customStyle="1" w:styleId="KommentarthemaZchn">
    <w:name w:val="Kommentarthema Zchn"/>
    <w:basedOn w:val="KommentartextZchn"/>
    <w:link w:val="Kommentarthema"/>
    <w:semiHidden/>
    <w:qFormat/>
    <w:rsid w:val="006764AB"/>
    <w:rPr>
      <w:b/>
      <w:bCs/>
      <w:sz w:val="20"/>
      <w:szCs w:val="20"/>
    </w:rPr>
  </w:style>
  <w:style w:type="character" w:customStyle="1" w:styleId="SprechblasentextZchn">
    <w:name w:val="Sprechblasentext Zchn"/>
    <w:basedOn w:val="Absatz-Standardschriftart"/>
    <w:link w:val="Sprechblasentext"/>
    <w:semiHidden/>
    <w:qFormat/>
    <w:rsid w:val="006764AB"/>
    <w:rPr>
      <w:rFonts w:ascii="Segoe UI" w:hAnsi="Segoe UI" w:cs="Segoe UI"/>
      <w:sz w:val="18"/>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customStyle="1" w:styleId="Default">
    <w:name w:val="Default"/>
    <w:qFormat/>
    <w:rsid w:val="00235346"/>
    <w:rPr>
      <w:rFonts w:cs="Arial"/>
      <w:color w:val="000000"/>
    </w:rPr>
  </w:style>
  <w:style w:type="paragraph" w:styleId="Kommentartext">
    <w:name w:val="annotation text"/>
    <w:basedOn w:val="Standard"/>
    <w:link w:val="KommentartextZchn"/>
    <w:semiHidden/>
    <w:unhideWhenUsed/>
    <w:qFormat/>
    <w:rsid w:val="006764AB"/>
    <w:rPr>
      <w:sz w:val="20"/>
      <w:szCs w:val="20"/>
    </w:rPr>
  </w:style>
  <w:style w:type="paragraph" w:styleId="Kommentarthema">
    <w:name w:val="annotation subject"/>
    <w:basedOn w:val="Kommentartext"/>
    <w:next w:val="Kommentartext"/>
    <w:link w:val="KommentarthemaZchn"/>
    <w:semiHidden/>
    <w:unhideWhenUsed/>
    <w:qFormat/>
    <w:rsid w:val="006764AB"/>
    <w:rPr>
      <w:b/>
      <w:bCs/>
    </w:rPr>
  </w:style>
  <w:style w:type="paragraph" w:styleId="Sprechblasentext">
    <w:name w:val="Balloon Text"/>
    <w:basedOn w:val="Standard"/>
    <w:link w:val="SprechblasentextZchn"/>
    <w:semiHidden/>
    <w:unhideWhenUsed/>
    <w:qFormat/>
    <w:rsid w:val="006764AB"/>
    <w:rPr>
      <w:rFonts w:ascii="Segoe UI" w:hAnsi="Segoe UI" w:cs="Segoe UI"/>
      <w:sz w:val="18"/>
      <w:szCs w:val="18"/>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9922">
      <w:bodyDiv w:val="1"/>
      <w:marLeft w:val="0"/>
      <w:marRight w:val="0"/>
      <w:marTop w:val="0"/>
      <w:marBottom w:val="0"/>
      <w:divBdr>
        <w:top w:val="none" w:sz="0" w:space="0" w:color="auto"/>
        <w:left w:val="none" w:sz="0" w:space="0" w:color="auto"/>
        <w:bottom w:val="none" w:sz="0" w:space="0" w:color="auto"/>
        <w:right w:val="none" w:sz="0" w:space="0" w:color="auto"/>
      </w:divBdr>
    </w:div>
    <w:div w:id="768500466">
      <w:bodyDiv w:val="1"/>
      <w:marLeft w:val="0"/>
      <w:marRight w:val="0"/>
      <w:marTop w:val="0"/>
      <w:marBottom w:val="0"/>
      <w:divBdr>
        <w:top w:val="none" w:sz="0" w:space="0" w:color="auto"/>
        <w:left w:val="none" w:sz="0" w:space="0" w:color="auto"/>
        <w:bottom w:val="none" w:sz="0" w:space="0" w:color="auto"/>
        <w:right w:val="none" w:sz="0" w:space="0" w:color="auto"/>
      </w:divBdr>
    </w:div>
    <w:div w:id="100095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Faller, Isolde</dc:creator>
  <dc:description/>
  <cp:lastModifiedBy>Baumann, Gerhard</cp:lastModifiedBy>
  <cp:revision>7</cp:revision>
  <cp:lastPrinted>2023-10-30T09:09:00Z</cp:lastPrinted>
  <dcterms:created xsi:type="dcterms:W3CDTF">2023-09-21T09:34:00Z</dcterms:created>
  <dcterms:modified xsi:type="dcterms:W3CDTF">2023-10-30T09:09:00Z</dcterms:modified>
  <dc:language>de-DE</dc:language>
</cp:coreProperties>
</file>