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Anlage</w:t>
      </w:r>
      <w:r w:rsidR="009971C5">
        <w:t xml:space="preserve"> 44</w:t>
      </w:r>
      <w:bookmarkStart w:id="0" w:name="_GoBack"/>
      <w:bookmarkEnd w:id="0"/>
      <w:r w:rsidRPr="006E0575">
        <w:t xml:space="preserve"> zur GRDrs</w:t>
      </w:r>
      <w:r w:rsidR="00297C0E">
        <w:t>.</w:t>
      </w:r>
      <w:r w:rsidRPr="006E0575">
        <w:t xml:space="preserve"> </w:t>
      </w:r>
      <w:r w:rsidR="00297C0E">
        <w:t>823</w:t>
      </w:r>
      <w:r w:rsidR="005F5B3D">
        <w:t>/</w:t>
      </w:r>
      <w:r w:rsidR="0024097F">
        <w:t>2023</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162FF2">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r>
              <w:rPr>
                <w:sz w:val="16"/>
                <w:szCs w:val="16"/>
              </w:rPr>
              <w:t>BesGr.</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r w:rsidRPr="006E0575">
              <w:rPr>
                <w:sz w:val="16"/>
                <w:szCs w:val="16"/>
              </w:rPr>
              <w:t>bezeichnung</w:t>
            </w:r>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r>
              <w:rPr>
                <w:sz w:val="16"/>
                <w:szCs w:val="16"/>
              </w:rPr>
              <w:t>d</w:t>
            </w:r>
            <w:r w:rsidRPr="006E0575">
              <w:rPr>
                <w:sz w:val="16"/>
                <w:szCs w:val="16"/>
              </w:rPr>
              <w:t>urchschnittl.</w:t>
            </w:r>
            <w:r>
              <w:rPr>
                <w:sz w:val="16"/>
                <w:szCs w:val="16"/>
              </w:rPr>
              <w:br/>
            </w:r>
            <w:r w:rsidRPr="006E0575">
              <w:rPr>
                <w:sz w:val="16"/>
                <w:szCs w:val="16"/>
              </w:rPr>
              <w:t>jährl.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D13746" w:rsidRPr="00D13746" w:rsidTr="00DE362D">
        <w:tc>
          <w:tcPr>
            <w:tcW w:w="1814" w:type="dxa"/>
          </w:tcPr>
          <w:p w:rsidR="005F5B3D" w:rsidRPr="00D13746" w:rsidRDefault="005F5B3D" w:rsidP="0030686C">
            <w:pPr>
              <w:rPr>
                <w:sz w:val="20"/>
              </w:rPr>
            </w:pPr>
          </w:p>
          <w:p w:rsidR="0011112B" w:rsidRPr="00D13746" w:rsidRDefault="00297C0E" w:rsidP="0030686C">
            <w:pPr>
              <w:rPr>
                <w:sz w:val="20"/>
              </w:rPr>
            </w:pPr>
            <w:r>
              <w:rPr>
                <w:sz w:val="20"/>
              </w:rPr>
              <w:t>50-</w:t>
            </w:r>
            <w:r w:rsidR="004C7DFB">
              <w:rPr>
                <w:sz w:val="20"/>
              </w:rPr>
              <w:t>7</w:t>
            </w:r>
          </w:p>
          <w:p w:rsidR="005F5B3D" w:rsidRDefault="005F5B3D" w:rsidP="004C7DFB">
            <w:pPr>
              <w:rPr>
                <w:sz w:val="20"/>
              </w:rPr>
            </w:pPr>
          </w:p>
          <w:p w:rsidR="004C7DFB" w:rsidRPr="00D13746" w:rsidRDefault="004C7DFB" w:rsidP="004C7DFB">
            <w:pPr>
              <w:rPr>
                <w:sz w:val="20"/>
              </w:rPr>
            </w:pPr>
            <w:r>
              <w:rPr>
                <w:sz w:val="20"/>
              </w:rPr>
              <w:t>5070</w:t>
            </w:r>
            <w:r w:rsidR="00297C0E">
              <w:rPr>
                <w:sz w:val="20"/>
              </w:rPr>
              <w:t xml:space="preserve"> </w:t>
            </w:r>
            <w:r>
              <w:rPr>
                <w:sz w:val="20"/>
              </w:rPr>
              <w:t>5010</w:t>
            </w:r>
          </w:p>
        </w:tc>
        <w:tc>
          <w:tcPr>
            <w:tcW w:w="1701" w:type="dxa"/>
          </w:tcPr>
          <w:p w:rsidR="005F5B3D" w:rsidRPr="00D13746" w:rsidRDefault="005F5B3D" w:rsidP="0030686C">
            <w:pPr>
              <w:rPr>
                <w:sz w:val="20"/>
              </w:rPr>
            </w:pPr>
          </w:p>
          <w:p w:rsidR="005F5B3D" w:rsidRPr="00D13746" w:rsidRDefault="00E230D5" w:rsidP="0030686C">
            <w:pPr>
              <w:rPr>
                <w:sz w:val="20"/>
              </w:rPr>
            </w:pPr>
            <w:r w:rsidRPr="00D13746">
              <w:rPr>
                <w:sz w:val="20"/>
              </w:rPr>
              <w:t>Sozialamt</w:t>
            </w:r>
          </w:p>
        </w:tc>
        <w:tc>
          <w:tcPr>
            <w:tcW w:w="794" w:type="dxa"/>
          </w:tcPr>
          <w:p w:rsidR="00E070F0" w:rsidRPr="00D13746" w:rsidRDefault="00E070F0" w:rsidP="00A3272A">
            <w:pPr>
              <w:rPr>
                <w:sz w:val="20"/>
              </w:rPr>
            </w:pPr>
          </w:p>
          <w:p w:rsidR="005F5B3D" w:rsidRPr="00D13746" w:rsidRDefault="00E230D5" w:rsidP="00A3272A">
            <w:pPr>
              <w:rPr>
                <w:sz w:val="20"/>
              </w:rPr>
            </w:pPr>
            <w:r w:rsidRPr="00D13746">
              <w:rPr>
                <w:sz w:val="20"/>
              </w:rPr>
              <w:t>A 1</w:t>
            </w:r>
            <w:r w:rsidR="00162FF2">
              <w:rPr>
                <w:sz w:val="20"/>
              </w:rPr>
              <w:t xml:space="preserve">2 </w:t>
            </w:r>
          </w:p>
          <w:p w:rsidR="00E070F0" w:rsidRPr="00D13746" w:rsidRDefault="00E070F0" w:rsidP="00A3272A">
            <w:pPr>
              <w:rPr>
                <w:sz w:val="20"/>
              </w:rPr>
            </w:pPr>
          </w:p>
          <w:p w:rsidR="00E070F0" w:rsidRPr="00D13746" w:rsidRDefault="00E070F0" w:rsidP="00A3272A">
            <w:pPr>
              <w:rPr>
                <w:sz w:val="20"/>
              </w:rPr>
            </w:pPr>
          </w:p>
          <w:p w:rsidR="00E070F0" w:rsidRPr="00D13746" w:rsidRDefault="00E070F0" w:rsidP="00A3272A">
            <w:pPr>
              <w:rPr>
                <w:sz w:val="20"/>
              </w:rPr>
            </w:pPr>
          </w:p>
          <w:p w:rsidR="00E070F0" w:rsidRPr="00D13746" w:rsidRDefault="00E070F0" w:rsidP="00A3272A">
            <w:pPr>
              <w:rPr>
                <w:sz w:val="20"/>
              </w:rPr>
            </w:pPr>
          </w:p>
          <w:p w:rsidR="00E070F0" w:rsidRPr="00D13746" w:rsidRDefault="00E070F0" w:rsidP="00A3272A">
            <w:pPr>
              <w:rPr>
                <w:sz w:val="20"/>
              </w:rPr>
            </w:pPr>
          </w:p>
          <w:p w:rsidR="00E070F0" w:rsidRPr="00D13746" w:rsidRDefault="00E070F0" w:rsidP="00A3272A">
            <w:pPr>
              <w:rPr>
                <w:sz w:val="20"/>
              </w:rPr>
            </w:pPr>
          </w:p>
          <w:p w:rsidR="00E070F0" w:rsidRPr="00D13746" w:rsidRDefault="00E070F0" w:rsidP="00A3272A">
            <w:pPr>
              <w:rPr>
                <w:sz w:val="20"/>
              </w:rPr>
            </w:pPr>
          </w:p>
        </w:tc>
        <w:tc>
          <w:tcPr>
            <w:tcW w:w="1928" w:type="dxa"/>
          </w:tcPr>
          <w:p w:rsidR="00E070F0" w:rsidRPr="00D13746" w:rsidRDefault="00E070F0" w:rsidP="00E070F0">
            <w:pPr>
              <w:rPr>
                <w:sz w:val="20"/>
              </w:rPr>
            </w:pPr>
          </w:p>
          <w:p w:rsidR="00E230D5" w:rsidRPr="00D13746" w:rsidRDefault="00E070F0" w:rsidP="00E070F0">
            <w:pPr>
              <w:rPr>
                <w:sz w:val="20"/>
              </w:rPr>
            </w:pPr>
            <w:r w:rsidRPr="00D13746">
              <w:rPr>
                <w:sz w:val="20"/>
              </w:rPr>
              <w:t xml:space="preserve">Sachbearbeitung im Fachbereich Recht, Qualität, Vergütung </w:t>
            </w:r>
          </w:p>
        </w:tc>
        <w:tc>
          <w:tcPr>
            <w:tcW w:w="737" w:type="dxa"/>
            <w:shd w:val="pct12" w:color="auto" w:fill="FFFFFF"/>
          </w:tcPr>
          <w:p w:rsidR="005F5B3D" w:rsidRPr="00D13746" w:rsidRDefault="005F5B3D" w:rsidP="0030686C">
            <w:pPr>
              <w:rPr>
                <w:sz w:val="20"/>
              </w:rPr>
            </w:pPr>
          </w:p>
          <w:p w:rsidR="005F5B3D" w:rsidRPr="00D13746" w:rsidRDefault="00E230D5" w:rsidP="0030686C">
            <w:pPr>
              <w:rPr>
                <w:sz w:val="20"/>
              </w:rPr>
            </w:pPr>
            <w:r w:rsidRPr="00D13746">
              <w:rPr>
                <w:sz w:val="20"/>
              </w:rPr>
              <w:t>1,0</w:t>
            </w:r>
            <w:r w:rsidR="00E070F0" w:rsidRPr="00D13746">
              <w:rPr>
                <w:sz w:val="20"/>
              </w:rPr>
              <w:t>0</w:t>
            </w:r>
          </w:p>
          <w:p w:rsidR="00E070F0" w:rsidRPr="00D13746" w:rsidRDefault="00E070F0" w:rsidP="0030686C">
            <w:pPr>
              <w:rPr>
                <w:sz w:val="20"/>
              </w:rPr>
            </w:pPr>
          </w:p>
          <w:p w:rsidR="00E070F0" w:rsidRPr="00D13746" w:rsidRDefault="00E070F0" w:rsidP="0030686C">
            <w:pPr>
              <w:rPr>
                <w:sz w:val="20"/>
              </w:rPr>
            </w:pPr>
          </w:p>
          <w:p w:rsidR="00E070F0" w:rsidRPr="00D13746" w:rsidRDefault="00E070F0" w:rsidP="0030686C">
            <w:pPr>
              <w:rPr>
                <w:sz w:val="20"/>
              </w:rPr>
            </w:pPr>
          </w:p>
          <w:p w:rsidR="00E070F0" w:rsidRPr="00D13746" w:rsidRDefault="00E070F0" w:rsidP="0030686C">
            <w:pPr>
              <w:rPr>
                <w:sz w:val="20"/>
              </w:rPr>
            </w:pPr>
          </w:p>
          <w:p w:rsidR="00E070F0" w:rsidRPr="00D13746" w:rsidRDefault="00E070F0" w:rsidP="0030686C">
            <w:pPr>
              <w:rPr>
                <w:sz w:val="20"/>
              </w:rPr>
            </w:pPr>
          </w:p>
          <w:p w:rsidR="00E070F0" w:rsidRPr="00D13746" w:rsidRDefault="00E070F0" w:rsidP="0030686C">
            <w:pPr>
              <w:rPr>
                <w:sz w:val="20"/>
              </w:rPr>
            </w:pPr>
          </w:p>
          <w:p w:rsidR="00E070F0" w:rsidRPr="00D13746" w:rsidRDefault="00E070F0" w:rsidP="0030686C">
            <w:pPr>
              <w:rPr>
                <w:sz w:val="20"/>
              </w:rPr>
            </w:pPr>
          </w:p>
        </w:tc>
        <w:tc>
          <w:tcPr>
            <w:tcW w:w="1134" w:type="dxa"/>
          </w:tcPr>
          <w:p w:rsidR="003E09DB" w:rsidRDefault="003E09DB" w:rsidP="0030686C">
            <w:pPr>
              <w:rPr>
                <w:sz w:val="20"/>
              </w:rPr>
            </w:pPr>
          </w:p>
          <w:p w:rsidR="005F5B3D" w:rsidRPr="00D13746" w:rsidRDefault="003E09DB" w:rsidP="0030686C">
            <w:pPr>
              <w:rPr>
                <w:sz w:val="20"/>
              </w:rPr>
            </w:pPr>
            <w:r>
              <w:rPr>
                <w:sz w:val="20"/>
              </w:rPr>
              <w:t>KW 01/</w:t>
            </w:r>
            <w:r w:rsidR="00297C0E">
              <w:rPr>
                <w:sz w:val="20"/>
              </w:rPr>
              <w:t>20</w:t>
            </w:r>
            <w:r w:rsidRPr="003E09DB">
              <w:rPr>
                <w:sz w:val="20"/>
              </w:rPr>
              <w:t>28</w:t>
            </w:r>
          </w:p>
        </w:tc>
        <w:tc>
          <w:tcPr>
            <w:tcW w:w="1417" w:type="dxa"/>
          </w:tcPr>
          <w:p w:rsidR="005F5B3D" w:rsidRPr="00D13746" w:rsidRDefault="005F5B3D" w:rsidP="0030686C">
            <w:pPr>
              <w:rPr>
                <w:sz w:val="20"/>
              </w:rPr>
            </w:pPr>
          </w:p>
          <w:p w:rsidR="005F5B3D" w:rsidRPr="00D13746" w:rsidRDefault="00297C0E" w:rsidP="0030686C">
            <w:pPr>
              <w:rPr>
                <w:sz w:val="20"/>
              </w:rPr>
            </w:pPr>
            <w:r>
              <w:rPr>
                <w:sz w:val="20"/>
              </w:rPr>
              <w:t>117.100</w:t>
            </w:r>
          </w:p>
        </w:tc>
      </w:tr>
    </w:tbl>
    <w:p w:rsidR="007919AE" w:rsidRDefault="007919AE" w:rsidP="007919AE">
      <w:pPr>
        <w:pStyle w:val="berschrift1"/>
        <w:spacing w:before="0"/>
        <w:jc w:val="both"/>
      </w:pPr>
    </w:p>
    <w:p w:rsidR="003D7B0B" w:rsidRPr="00D13746" w:rsidRDefault="006E0575" w:rsidP="007919AE">
      <w:pPr>
        <w:pStyle w:val="berschrift1"/>
        <w:spacing w:before="0"/>
        <w:jc w:val="both"/>
      </w:pPr>
      <w:r w:rsidRPr="00D13746">
        <w:t>1</w:t>
      </w:r>
      <w:r w:rsidR="00884D6C" w:rsidRPr="00D13746">
        <w:tab/>
      </w:r>
      <w:r w:rsidR="003D7B0B" w:rsidRPr="00D13746">
        <w:t>Antra</w:t>
      </w:r>
      <w:r w:rsidR="003D7B0B" w:rsidRPr="00D13746">
        <w:rPr>
          <w:u w:val="none"/>
        </w:rPr>
        <w:t>g</w:t>
      </w:r>
      <w:r w:rsidR="003D7B0B" w:rsidRPr="00D13746">
        <w:t>, Stellenausstattun</w:t>
      </w:r>
      <w:r w:rsidR="003D7B0B" w:rsidRPr="00D13746">
        <w:rPr>
          <w:u w:val="none"/>
        </w:rPr>
        <w:t>g</w:t>
      </w:r>
    </w:p>
    <w:p w:rsidR="003D7B0B" w:rsidRPr="00D13746" w:rsidRDefault="003D7B0B" w:rsidP="007919AE">
      <w:pPr>
        <w:jc w:val="both"/>
      </w:pPr>
    </w:p>
    <w:p w:rsidR="003E09DB" w:rsidRDefault="003E09DB" w:rsidP="003E09DB">
      <w:r>
        <w:t xml:space="preserve">Entsprechend der </w:t>
      </w:r>
      <w:r w:rsidRPr="00BE3810">
        <w:t>GRDrs. 424/2023</w:t>
      </w:r>
      <w:r>
        <w:t xml:space="preserve"> wird der </w:t>
      </w:r>
      <w:r w:rsidR="000C5838">
        <w:t xml:space="preserve">befristeten </w:t>
      </w:r>
      <w:r>
        <w:t>Schaffung der o.</w:t>
      </w:r>
      <w:r w:rsidR="00297C0E">
        <w:t xml:space="preserve"> g. Stelle</w:t>
      </w:r>
      <w:r>
        <w:t xml:space="preserve"> für das Sozialamt zugestimmt.</w:t>
      </w:r>
    </w:p>
    <w:p w:rsidR="007919AE" w:rsidRDefault="007919AE" w:rsidP="007919AE">
      <w:pPr>
        <w:pStyle w:val="berschrift1"/>
        <w:spacing w:before="0"/>
        <w:jc w:val="both"/>
      </w:pPr>
    </w:p>
    <w:p w:rsidR="007919AE" w:rsidRPr="007919AE" w:rsidRDefault="007919AE" w:rsidP="007919AE"/>
    <w:p w:rsidR="003D7B0B" w:rsidRDefault="003D7B0B" w:rsidP="007919AE">
      <w:pPr>
        <w:pStyle w:val="berschrift1"/>
        <w:spacing w:before="0"/>
        <w:jc w:val="both"/>
      </w:pPr>
      <w:r>
        <w:t>2</w:t>
      </w:r>
      <w:r>
        <w:tab/>
        <w:t>Schaffun</w:t>
      </w:r>
      <w:r w:rsidRPr="00884D6C">
        <w:rPr>
          <w:u w:val="none"/>
        </w:rPr>
        <w:t>g</w:t>
      </w:r>
      <w:r>
        <w:t>skriterien</w:t>
      </w:r>
    </w:p>
    <w:p w:rsidR="007919AE" w:rsidRDefault="007919AE" w:rsidP="007919AE">
      <w:pPr>
        <w:jc w:val="both"/>
      </w:pPr>
    </w:p>
    <w:p w:rsidR="003E09DB" w:rsidRDefault="003E09DB" w:rsidP="003E09DB">
      <w:r>
        <w:t>Auf die ausführliche Begründung in der v.</w:t>
      </w:r>
      <w:r w:rsidR="00297C0E">
        <w:t xml:space="preserve"> </w:t>
      </w:r>
      <w:r>
        <w:t>g. GRDrs. wird Bezug genommen.</w:t>
      </w:r>
    </w:p>
    <w:p w:rsidR="003E09DB" w:rsidRDefault="003E09DB" w:rsidP="008A7081"/>
    <w:p w:rsidR="007919AE" w:rsidRPr="007919AE" w:rsidRDefault="007919AE" w:rsidP="007919AE"/>
    <w:p w:rsidR="003D7B0B" w:rsidRDefault="003D7B0B" w:rsidP="007919AE">
      <w:pPr>
        <w:pStyle w:val="berschrift1"/>
        <w:spacing w:before="0"/>
        <w:jc w:val="both"/>
      </w:pPr>
      <w:r>
        <w:t>3</w:t>
      </w:r>
      <w:r>
        <w:tab/>
        <w:t>Bedarf</w:t>
      </w:r>
    </w:p>
    <w:p w:rsidR="007919AE" w:rsidRDefault="007919AE" w:rsidP="007919AE">
      <w:pPr>
        <w:pStyle w:val="berschrift2"/>
        <w:spacing w:before="0"/>
        <w:jc w:val="both"/>
      </w:pPr>
    </w:p>
    <w:p w:rsidR="003D7B0B" w:rsidRPr="00884D6C" w:rsidRDefault="00884D6C" w:rsidP="007919AE">
      <w:pPr>
        <w:pStyle w:val="berschrift2"/>
        <w:spacing w:before="0"/>
        <w:jc w:val="both"/>
      </w:pPr>
      <w:r w:rsidRPr="00884D6C">
        <w:t>3.1</w:t>
      </w:r>
      <w:r w:rsidRPr="00884D6C">
        <w:tab/>
      </w:r>
      <w:r w:rsidR="006E0575" w:rsidRPr="00884D6C">
        <w:t>Anlass</w:t>
      </w:r>
    </w:p>
    <w:p w:rsidR="003E09DB" w:rsidRDefault="003E09DB" w:rsidP="003E09DB">
      <w:pPr>
        <w:jc w:val="both"/>
      </w:pPr>
      <w:r>
        <w:t>Das Bundesteilhabegesetz (BTHG) ist ein umfassendes Gesetzespaket. Es tritt in vier Reformstufen bis 2023 in Kraft. Die umfassenden Rechtsänderungen sollen dazu beitragen, dass Menschen mit Behinderung eine umfassende Teilhabe am Leben in der Gemeinschaft ermöglicht wird.</w:t>
      </w:r>
    </w:p>
    <w:p w:rsidR="003E09DB" w:rsidRDefault="003E09DB" w:rsidP="003E09DB">
      <w:pPr>
        <w:jc w:val="both"/>
        <w:rPr>
          <w:rFonts w:cs="Arial"/>
        </w:rPr>
      </w:pPr>
    </w:p>
    <w:p w:rsidR="003E09DB" w:rsidRPr="00425E39" w:rsidRDefault="003E09DB" w:rsidP="003E09DB">
      <w:pPr>
        <w:jc w:val="both"/>
      </w:pPr>
      <w:r w:rsidRPr="00425E39">
        <w:rPr>
          <w:rFonts w:cs="Arial"/>
        </w:rPr>
        <w:t xml:space="preserve">Der Paradigmenwechsel in der Eingliederungshilfe ist mit umfangreichen Rechtsänderungen auf der Grundlage des BTHG verbunden. </w:t>
      </w:r>
      <w:r w:rsidRPr="00425E39">
        <w:t xml:space="preserve">Die Erfahrungen seit Inkrafttreten des SGB IX zum 01.01.2020 zeigen, dass die Aufgabenmehrung im Zusammenhang mit der Individualisierung der Hilfeleistungen im Fachbereich Recht, Qualität und Vergütung deutlich umfassender sind, als dies bei der Konfiguration der neuen Abteilung 50-7 abzusehen war. </w:t>
      </w:r>
    </w:p>
    <w:p w:rsidR="003E09DB" w:rsidRDefault="003E09DB" w:rsidP="003E09DB">
      <w:pPr>
        <w:ind w:right="-23"/>
        <w:jc w:val="both"/>
        <w:rPr>
          <w:rFonts w:cs="Arial"/>
        </w:rPr>
      </w:pPr>
    </w:p>
    <w:p w:rsidR="003E09DB" w:rsidRPr="00425E39" w:rsidRDefault="003E09DB" w:rsidP="00297C0E">
      <w:pPr>
        <w:ind w:right="-23"/>
        <w:jc w:val="both"/>
        <w:rPr>
          <w:rFonts w:cs="Arial"/>
        </w:rPr>
      </w:pPr>
      <w:r w:rsidRPr="00425E39">
        <w:rPr>
          <w:rFonts w:cs="Arial"/>
        </w:rPr>
        <w:t xml:space="preserve">Für die Umsetzung des neuen Rechts fehlen zu vielen Fragenstellungen Umsetzungshinweise, Richtlinien und Rechtsprechungen. Einzelfälle werfen regelmäßig Grundsatzfragen auf, die es </w:t>
      </w:r>
      <w:r>
        <w:rPr>
          <w:rFonts w:cs="Arial"/>
        </w:rPr>
        <w:t>v.</w:t>
      </w:r>
      <w:r w:rsidR="00297C0E">
        <w:rPr>
          <w:rFonts w:cs="Arial"/>
        </w:rPr>
        <w:t xml:space="preserve"> </w:t>
      </w:r>
      <w:r>
        <w:rPr>
          <w:rFonts w:cs="Arial"/>
        </w:rPr>
        <w:t xml:space="preserve">a. für den laufenden Umstellungsprozess innerhalb verbindlicher von </w:t>
      </w:r>
      <w:r>
        <w:rPr>
          <w:rFonts w:cs="Arial"/>
        </w:rPr>
        <w:lastRenderedPageBreak/>
        <w:t xml:space="preserve">Bund und Land vorgegebener Fristen (Umstellungsfrist 31.12.23) </w:t>
      </w:r>
      <w:r w:rsidRPr="00425E39">
        <w:rPr>
          <w:rFonts w:cs="Arial"/>
        </w:rPr>
        <w:t xml:space="preserve">auszuarbeiten und mit einer Vielzahl von Akteuren abzustimmen gilt. </w:t>
      </w:r>
    </w:p>
    <w:p w:rsidR="003E09DB" w:rsidRDefault="003E09DB" w:rsidP="00297C0E">
      <w:pPr>
        <w:ind w:right="-23"/>
        <w:jc w:val="both"/>
        <w:rPr>
          <w:rFonts w:cs="Arial"/>
        </w:rPr>
      </w:pPr>
    </w:p>
    <w:p w:rsidR="003E09DB" w:rsidRDefault="003E09DB" w:rsidP="00297C0E">
      <w:pPr>
        <w:ind w:right="-23"/>
        <w:jc w:val="both"/>
        <w:rPr>
          <w:rFonts w:cs="Arial"/>
        </w:rPr>
      </w:pPr>
      <w:r w:rsidRPr="00425E39">
        <w:rPr>
          <w:rFonts w:cs="Arial"/>
        </w:rPr>
        <w:t>Da das BTHG sich noch in der Umstellungsphase befindet</w:t>
      </w:r>
      <w:r w:rsidR="00297C0E">
        <w:rPr>
          <w:rFonts w:cs="Arial"/>
        </w:rPr>
        <w:t>,</w:t>
      </w:r>
      <w:r w:rsidRPr="00425E39">
        <w:rPr>
          <w:rFonts w:cs="Arial"/>
        </w:rPr>
        <w:t xml:space="preserve"> kommt es in dem Zusammenhang auch zu einem Anstieg der Widersprüche und Klagen der </w:t>
      </w:r>
      <w:r>
        <w:rPr>
          <w:rFonts w:cs="Arial"/>
        </w:rPr>
        <w:t>l</w:t>
      </w:r>
      <w:r w:rsidRPr="00425E39">
        <w:rPr>
          <w:rFonts w:cs="Arial"/>
        </w:rPr>
        <w:t>eistungsberechtigten Personen</w:t>
      </w:r>
      <w:r>
        <w:rPr>
          <w:rFonts w:cs="Arial"/>
        </w:rPr>
        <w:t>, die wiederum von grundlegender Bedeutung für den Umstellungsprozess sind</w:t>
      </w:r>
      <w:r w:rsidRPr="00425E39">
        <w:rPr>
          <w:rFonts w:cs="Arial"/>
        </w:rPr>
        <w:t xml:space="preserve">. </w:t>
      </w:r>
    </w:p>
    <w:p w:rsidR="00A36411" w:rsidRDefault="00A36411" w:rsidP="00297C0E">
      <w:pPr>
        <w:ind w:right="-23"/>
        <w:jc w:val="both"/>
        <w:rPr>
          <w:rFonts w:cs="Arial"/>
        </w:rPr>
      </w:pPr>
    </w:p>
    <w:p w:rsidR="003D7B0B" w:rsidRPr="00165C0D" w:rsidRDefault="003D7B0B" w:rsidP="00297C0E">
      <w:pPr>
        <w:pStyle w:val="berschrift2"/>
        <w:spacing w:before="0"/>
        <w:jc w:val="both"/>
      </w:pPr>
      <w:r w:rsidRPr="00165C0D">
        <w:t>3.2</w:t>
      </w:r>
      <w:r w:rsidRPr="00165C0D">
        <w:tab/>
        <w:t>Bisherige Aufgabenwahrnehmung</w:t>
      </w:r>
    </w:p>
    <w:p w:rsidR="00F50ADA" w:rsidRDefault="00FA1703" w:rsidP="00297C0E">
      <w:pPr>
        <w:jc w:val="both"/>
        <w:rPr>
          <w:szCs w:val="20"/>
        </w:rPr>
      </w:pPr>
      <w:r>
        <w:rPr>
          <w:szCs w:val="20"/>
        </w:rPr>
        <w:t>Das neue Leistungsrecht i</w:t>
      </w:r>
      <w:r w:rsidR="00162FF2">
        <w:rPr>
          <w:szCs w:val="20"/>
        </w:rPr>
        <w:t>st</w:t>
      </w:r>
      <w:r w:rsidR="00797CCA">
        <w:rPr>
          <w:szCs w:val="20"/>
        </w:rPr>
        <w:t xml:space="preserve"> </w:t>
      </w:r>
      <w:r>
        <w:rPr>
          <w:szCs w:val="20"/>
        </w:rPr>
        <w:t xml:space="preserve">seit dem </w:t>
      </w:r>
      <w:r w:rsidR="00797CCA">
        <w:rPr>
          <w:szCs w:val="20"/>
        </w:rPr>
        <w:t>01.01.2020 im SGB IX in K</w:t>
      </w:r>
      <w:r w:rsidR="00FD6B7A">
        <w:rPr>
          <w:szCs w:val="20"/>
        </w:rPr>
        <w:t>raft</w:t>
      </w:r>
      <w:r>
        <w:rPr>
          <w:szCs w:val="20"/>
        </w:rPr>
        <w:t xml:space="preserve">. Zum 01.01.2024 wird die letzte Reformstufe umgesetzt. </w:t>
      </w:r>
      <w:r w:rsidR="00797CCA">
        <w:rPr>
          <w:szCs w:val="20"/>
        </w:rPr>
        <w:t xml:space="preserve"> </w:t>
      </w:r>
    </w:p>
    <w:p w:rsidR="00AD22C1" w:rsidRPr="00FD6B7A" w:rsidRDefault="00AD22C1" w:rsidP="00297C0E">
      <w:pPr>
        <w:jc w:val="both"/>
        <w:rPr>
          <w:szCs w:val="20"/>
        </w:rPr>
      </w:pPr>
    </w:p>
    <w:p w:rsidR="003D7B0B" w:rsidRDefault="006E0575" w:rsidP="00297C0E">
      <w:pPr>
        <w:pStyle w:val="berschrift2"/>
        <w:spacing w:before="0"/>
        <w:jc w:val="both"/>
      </w:pPr>
      <w:r>
        <w:t>3.3</w:t>
      </w:r>
      <w:r w:rsidR="003D7B0B">
        <w:tab/>
        <w:t>Auswirkungen bei Ablehnung der Stellenschaffungen</w:t>
      </w:r>
    </w:p>
    <w:p w:rsidR="003D7B0B" w:rsidRPr="003E09DB" w:rsidRDefault="003E09DB" w:rsidP="00297C0E">
      <w:pPr>
        <w:jc w:val="both"/>
        <w:rPr>
          <w:szCs w:val="20"/>
        </w:rPr>
      </w:pPr>
      <w:r>
        <w:rPr>
          <w:szCs w:val="20"/>
        </w:rPr>
        <w:t>Das Sachgebiet 50-701 kann die Aufgaben mit den vorgesehenen Stellen zum Abteilungsbeginn ab 01.01.2020 nicht bewältigen und benötigt für die Rechtsprechung eine weitere Stelle.</w:t>
      </w:r>
      <w:r w:rsidR="00162FF2">
        <w:rPr>
          <w:rFonts w:cs="Arial"/>
        </w:rPr>
        <w:t xml:space="preserve"> </w:t>
      </w:r>
      <w:r w:rsidR="00F751AD">
        <w:rPr>
          <w:rFonts w:cs="Arial"/>
        </w:rPr>
        <w:t>Insbesondere die Geltendmachung von Kostenerstattungen gegenüber anderen Reha</w:t>
      </w:r>
      <w:r w:rsidR="00252BCC">
        <w:rPr>
          <w:rFonts w:cs="Arial"/>
        </w:rPr>
        <w:t>bilitations</w:t>
      </w:r>
      <w:r w:rsidR="00F751AD">
        <w:rPr>
          <w:rFonts w:cs="Arial"/>
        </w:rPr>
        <w:t xml:space="preserve">trägern und die Klärung der Rechtsverhältnisse im Einzelfall sind mit erheblichen finanziellen Auswirkungen für die Stadt verbunden, wenn hier keine Ressourcen zur Verfügung gestellt werden. </w:t>
      </w:r>
    </w:p>
    <w:p w:rsidR="00DA6308" w:rsidRDefault="00DA6308" w:rsidP="008A7081">
      <w:pPr>
        <w:pStyle w:val="berschrift1"/>
        <w:spacing w:before="0"/>
      </w:pPr>
    </w:p>
    <w:p w:rsidR="00DA6308" w:rsidRDefault="00DA6308" w:rsidP="008A7081">
      <w:pPr>
        <w:pStyle w:val="berschrift1"/>
        <w:spacing w:before="0"/>
      </w:pPr>
    </w:p>
    <w:p w:rsidR="003D7B0B" w:rsidRDefault="00884D6C" w:rsidP="008A7081">
      <w:pPr>
        <w:pStyle w:val="berschrift1"/>
        <w:spacing w:before="0"/>
      </w:pPr>
      <w:r>
        <w:t>4</w:t>
      </w:r>
      <w:r>
        <w:tab/>
      </w:r>
      <w:r w:rsidR="003D7B0B">
        <w:t>Stellenvermerke</w:t>
      </w:r>
    </w:p>
    <w:p w:rsidR="003D7B0B" w:rsidRDefault="003D7B0B" w:rsidP="008A7081"/>
    <w:p w:rsidR="00DE362D" w:rsidRDefault="003E09DB" w:rsidP="008A7081">
      <w:r>
        <w:t>KW 01/2028</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05E" w:rsidRDefault="006F305E">
      <w:r>
        <w:separator/>
      </w:r>
    </w:p>
  </w:endnote>
  <w:endnote w:type="continuationSeparator" w:id="0">
    <w:p w:rsidR="006F305E" w:rsidRDefault="006F3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05E" w:rsidRDefault="006F305E">
      <w:r>
        <w:separator/>
      </w:r>
    </w:p>
  </w:footnote>
  <w:footnote w:type="continuationSeparator" w:id="0">
    <w:p w:rsidR="006F305E" w:rsidRDefault="006F3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9971C5">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3E1F7816"/>
    <w:multiLevelType w:val="hybridMultilevel"/>
    <w:tmpl w:val="88AA46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0D5"/>
    <w:rsid w:val="00055758"/>
    <w:rsid w:val="000A1146"/>
    <w:rsid w:val="000C5838"/>
    <w:rsid w:val="000D1096"/>
    <w:rsid w:val="000D1456"/>
    <w:rsid w:val="000E1916"/>
    <w:rsid w:val="001034AF"/>
    <w:rsid w:val="0011112B"/>
    <w:rsid w:val="0014415D"/>
    <w:rsid w:val="00151488"/>
    <w:rsid w:val="00162FF2"/>
    <w:rsid w:val="00163034"/>
    <w:rsid w:val="00164678"/>
    <w:rsid w:val="00165C0D"/>
    <w:rsid w:val="00175578"/>
    <w:rsid w:val="00181857"/>
    <w:rsid w:val="00184EDC"/>
    <w:rsid w:val="00194770"/>
    <w:rsid w:val="001A2AF3"/>
    <w:rsid w:val="001A5F9B"/>
    <w:rsid w:val="001D2ABB"/>
    <w:rsid w:val="001E7635"/>
    <w:rsid w:val="001F7237"/>
    <w:rsid w:val="002366F3"/>
    <w:rsid w:val="0024097F"/>
    <w:rsid w:val="00251BF5"/>
    <w:rsid w:val="00252BCC"/>
    <w:rsid w:val="002556BE"/>
    <w:rsid w:val="00265D6E"/>
    <w:rsid w:val="002709B8"/>
    <w:rsid w:val="0027640C"/>
    <w:rsid w:val="002924CB"/>
    <w:rsid w:val="00297C0E"/>
    <w:rsid w:val="002A20D1"/>
    <w:rsid w:val="002A4DE3"/>
    <w:rsid w:val="002B5955"/>
    <w:rsid w:val="0030686C"/>
    <w:rsid w:val="00380937"/>
    <w:rsid w:val="00397717"/>
    <w:rsid w:val="003D7B0B"/>
    <w:rsid w:val="003E09DB"/>
    <w:rsid w:val="003F0FAA"/>
    <w:rsid w:val="004216D2"/>
    <w:rsid w:val="00426502"/>
    <w:rsid w:val="0043796B"/>
    <w:rsid w:val="00443931"/>
    <w:rsid w:val="00462F3C"/>
    <w:rsid w:val="00470135"/>
    <w:rsid w:val="0047606A"/>
    <w:rsid w:val="004908B5"/>
    <w:rsid w:val="0049121B"/>
    <w:rsid w:val="004A1688"/>
    <w:rsid w:val="004B6796"/>
    <w:rsid w:val="004C7DFB"/>
    <w:rsid w:val="005052B6"/>
    <w:rsid w:val="005A0A9D"/>
    <w:rsid w:val="005A56AA"/>
    <w:rsid w:val="005B4AD7"/>
    <w:rsid w:val="005B528B"/>
    <w:rsid w:val="005D5FE1"/>
    <w:rsid w:val="005E19C6"/>
    <w:rsid w:val="005F5B3D"/>
    <w:rsid w:val="005F7231"/>
    <w:rsid w:val="0060664D"/>
    <w:rsid w:val="00606F80"/>
    <w:rsid w:val="006150FA"/>
    <w:rsid w:val="00622CC7"/>
    <w:rsid w:val="006374AB"/>
    <w:rsid w:val="006A406B"/>
    <w:rsid w:val="006B5B57"/>
    <w:rsid w:val="006B6D50"/>
    <w:rsid w:val="006C4494"/>
    <w:rsid w:val="006E0575"/>
    <w:rsid w:val="006F305E"/>
    <w:rsid w:val="0072799A"/>
    <w:rsid w:val="00754659"/>
    <w:rsid w:val="007919AE"/>
    <w:rsid w:val="00797CCA"/>
    <w:rsid w:val="007E3B79"/>
    <w:rsid w:val="008066EE"/>
    <w:rsid w:val="00817BB6"/>
    <w:rsid w:val="00884D6C"/>
    <w:rsid w:val="00884F39"/>
    <w:rsid w:val="00893C06"/>
    <w:rsid w:val="008A7081"/>
    <w:rsid w:val="008F3AD2"/>
    <w:rsid w:val="008F62EC"/>
    <w:rsid w:val="00920F00"/>
    <w:rsid w:val="009239D5"/>
    <w:rsid w:val="009373F6"/>
    <w:rsid w:val="00976588"/>
    <w:rsid w:val="009971C5"/>
    <w:rsid w:val="00A27CA7"/>
    <w:rsid w:val="00A3272A"/>
    <w:rsid w:val="00A36411"/>
    <w:rsid w:val="00A71D0A"/>
    <w:rsid w:val="00A74EB0"/>
    <w:rsid w:val="00A77F1E"/>
    <w:rsid w:val="00A80E01"/>
    <w:rsid w:val="00A847C4"/>
    <w:rsid w:val="00AB389D"/>
    <w:rsid w:val="00AD22C1"/>
    <w:rsid w:val="00AF0DEA"/>
    <w:rsid w:val="00AF25E0"/>
    <w:rsid w:val="00B04290"/>
    <w:rsid w:val="00B80DEF"/>
    <w:rsid w:val="00B86BB5"/>
    <w:rsid w:val="00B91903"/>
    <w:rsid w:val="00BC4669"/>
    <w:rsid w:val="00BD6B7A"/>
    <w:rsid w:val="00BF4444"/>
    <w:rsid w:val="00C16EF1"/>
    <w:rsid w:val="00C448D3"/>
    <w:rsid w:val="00C519F0"/>
    <w:rsid w:val="00C60693"/>
    <w:rsid w:val="00CC344D"/>
    <w:rsid w:val="00CF62E5"/>
    <w:rsid w:val="00D13746"/>
    <w:rsid w:val="00D66D3A"/>
    <w:rsid w:val="00D743D4"/>
    <w:rsid w:val="00DA6308"/>
    <w:rsid w:val="00DB3D6C"/>
    <w:rsid w:val="00DD6A8A"/>
    <w:rsid w:val="00DE362D"/>
    <w:rsid w:val="00E014B6"/>
    <w:rsid w:val="00E070F0"/>
    <w:rsid w:val="00E1162F"/>
    <w:rsid w:val="00E11D5F"/>
    <w:rsid w:val="00E20E1F"/>
    <w:rsid w:val="00E230D5"/>
    <w:rsid w:val="00E35DC9"/>
    <w:rsid w:val="00E42F96"/>
    <w:rsid w:val="00E7118F"/>
    <w:rsid w:val="00EA0A4E"/>
    <w:rsid w:val="00EF733A"/>
    <w:rsid w:val="00F27657"/>
    <w:rsid w:val="00F342DC"/>
    <w:rsid w:val="00F50ADA"/>
    <w:rsid w:val="00F56F93"/>
    <w:rsid w:val="00F63041"/>
    <w:rsid w:val="00F751AD"/>
    <w:rsid w:val="00F76452"/>
    <w:rsid w:val="00FA1703"/>
    <w:rsid w:val="00FD1823"/>
    <w:rsid w:val="00FD6B46"/>
    <w:rsid w:val="00FD6B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4BCD15"/>
  <w15:docId w15:val="{F1D6CCB1-6D38-47B2-B90F-6BA793193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8F62EC"/>
    <w:pPr>
      <w:ind w:left="720"/>
      <w:contextualSpacing/>
    </w:pPr>
  </w:style>
  <w:style w:type="paragraph" w:styleId="berarbeitung">
    <w:name w:val="Revision"/>
    <w:hidden/>
    <w:uiPriority w:val="99"/>
    <w:semiHidden/>
    <w:rsid w:val="00252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500101\AppData\Local\Temp\notes65C8FE\l112_muster_schaffu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l112_muster_schaffung.dotx</Template>
  <TotalTime>0</TotalTime>
  <Pages>2</Pages>
  <Words>341</Words>
  <Characters>2332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u500101</dc:creator>
  <cp:lastModifiedBy>Baumann, Gerhard</cp:lastModifiedBy>
  <cp:revision>4</cp:revision>
  <cp:lastPrinted>2023-10-06T09:18:00Z</cp:lastPrinted>
  <dcterms:created xsi:type="dcterms:W3CDTF">2023-09-12T06:22:00Z</dcterms:created>
  <dcterms:modified xsi:type="dcterms:W3CDTF">2023-10-06T09:18:00Z</dcterms:modified>
</cp:coreProperties>
</file>