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2EAB" w14:textId="42C29B10" w:rsidR="003D7B0B" w:rsidRPr="006E0575" w:rsidRDefault="003D7B0B" w:rsidP="00397717">
      <w:pPr>
        <w:jc w:val="right"/>
      </w:pPr>
      <w:r w:rsidRPr="006E0575">
        <w:t xml:space="preserve">Anlage </w:t>
      </w:r>
      <w:r w:rsidR="00385E69">
        <w:t>38</w:t>
      </w:r>
      <w:r w:rsidRPr="006E0575">
        <w:t xml:space="preserve"> zur GRDrs</w:t>
      </w:r>
      <w:r w:rsidR="00CA76E1">
        <w:t>.</w:t>
      </w:r>
      <w:r w:rsidRPr="006E0575">
        <w:t xml:space="preserve"> </w:t>
      </w:r>
      <w:r w:rsidR="00CA76E1">
        <w:t>823</w:t>
      </w:r>
      <w:r w:rsidR="005F5B3D">
        <w:t>/20</w:t>
      </w:r>
      <w:r w:rsidR="00AE7B02">
        <w:t>2</w:t>
      </w:r>
      <w:r w:rsidR="00026253">
        <w:t>3</w:t>
      </w:r>
    </w:p>
    <w:p w14:paraId="5A764D8F" w14:textId="77777777" w:rsidR="003D7B0B" w:rsidRPr="006E0575" w:rsidRDefault="003D7B0B" w:rsidP="006E0575"/>
    <w:p w14:paraId="078A3A6C" w14:textId="77777777" w:rsidR="003D7B0B" w:rsidRPr="006E0575" w:rsidRDefault="003D7B0B" w:rsidP="006E0575"/>
    <w:p w14:paraId="5CF0020C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7E8B64C4" w14:textId="21B8E69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10ACA">
        <w:rPr>
          <w:b/>
          <w:sz w:val="36"/>
          <w:szCs w:val="36"/>
          <w:u w:val="single"/>
        </w:rPr>
        <w:t>4</w:t>
      </w:r>
    </w:p>
    <w:p w14:paraId="44A5AE4F" w14:textId="77777777" w:rsidR="003D7B0B" w:rsidRDefault="003D7B0B" w:rsidP="006E0575">
      <w:pPr>
        <w:rPr>
          <w:u w:val="single"/>
        </w:rPr>
      </w:pPr>
    </w:p>
    <w:p w14:paraId="231CF753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14:paraId="6E43AAAA" w14:textId="77777777" w:rsidTr="0096038F">
        <w:trPr>
          <w:tblHeader/>
        </w:trPr>
        <w:tc>
          <w:tcPr>
            <w:tcW w:w="1701" w:type="dxa"/>
            <w:shd w:val="pct12" w:color="auto" w:fill="FFFFFF"/>
          </w:tcPr>
          <w:p w14:paraId="2948F0D6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6E4C18BB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785DB9B6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3EAA7E04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2DB145E2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04D2AE32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21716565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164B9422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6C7E97EB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4F96FBB8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49F532ED" w14:textId="77777777" w:rsidTr="0096038F">
        <w:tc>
          <w:tcPr>
            <w:tcW w:w="1701" w:type="dxa"/>
          </w:tcPr>
          <w:p w14:paraId="34F74062" w14:textId="77777777" w:rsidR="005F5B3D" w:rsidRDefault="005F5B3D" w:rsidP="0030686C">
            <w:pPr>
              <w:rPr>
                <w:sz w:val="20"/>
              </w:rPr>
            </w:pPr>
          </w:p>
          <w:p w14:paraId="0C6DB690" w14:textId="772CCAA7" w:rsidR="005F5B3D" w:rsidRDefault="00343FF0" w:rsidP="0030686C">
            <w:pPr>
              <w:rPr>
                <w:sz w:val="20"/>
              </w:rPr>
            </w:pPr>
            <w:r w:rsidRPr="00901C82">
              <w:rPr>
                <w:sz w:val="20"/>
              </w:rPr>
              <w:t>50</w:t>
            </w:r>
            <w:r w:rsidR="00CA76E1">
              <w:rPr>
                <w:sz w:val="20"/>
              </w:rPr>
              <w:t>-</w:t>
            </w:r>
            <w:r w:rsidR="000F0539" w:rsidRPr="00901C82">
              <w:rPr>
                <w:sz w:val="20"/>
              </w:rPr>
              <w:t>41</w:t>
            </w:r>
          </w:p>
          <w:p w14:paraId="68016650" w14:textId="77777777" w:rsidR="0011112B" w:rsidRDefault="0011112B" w:rsidP="0030686C">
            <w:pPr>
              <w:rPr>
                <w:sz w:val="20"/>
              </w:rPr>
            </w:pPr>
          </w:p>
          <w:p w14:paraId="18BEE727" w14:textId="0C674D60" w:rsidR="0011112B" w:rsidRDefault="00B84303" w:rsidP="0030686C">
            <w:pPr>
              <w:rPr>
                <w:sz w:val="20"/>
              </w:rPr>
            </w:pPr>
            <w:r>
              <w:rPr>
                <w:sz w:val="20"/>
              </w:rPr>
              <w:t>5040</w:t>
            </w:r>
            <w:r w:rsidR="00CA76E1">
              <w:rPr>
                <w:sz w:val="20"/>
              </w:rPr>
              <w:t xml:space="preserve"> </w:t>
            </w:r>
            <w:r>
              <w:rPr>
                <w:sz w:val="20"/>
              </w:rPr>
              <w:t>5015</w:t>
            </w:r>
          </w:p>
          <w:p w14:paraId="6EB67FB5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A4E39F6" w14:textId="77777777" w:rsidR="005F5B3D" w:rsidRDefault="005F5B3D" w:rsidP="0030686C">
            <w:pPr>
              <w:rPr>
                <w:sz w:val="20"/>
              </w:rPr>
            </w:pPr>
          </w:p>
          <w:p w14:paraId="56129245" w14:textId="3A40AC18" w:rsidR="005F5B3D" w:rsidRPr="000F0539" w:rsidRDefault="00343FF0" w:rsidP="0030686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851" w:type="dxa"/>
          </w:tcPr>
          <w:p w14:paraId="21823D3B" w14:textId="77777777" w:rsidR="005F5B3D" w:rsidRDefault="005F5B3D" w:rsidP="0030686C">
            <w:pPr>
              <w:rPr>
                <w:sz w:val="20"/>
              </w:rPr>
            </w:pPr>
          </w:p>
          <w:p w14:paraId="1C73C3F2" w14:textId="3EC38C1B" w:rsidR="005F5B3D" w:rsidRPr="006E0575" w:rsidRDefault="000F0539" w:rsidP="0030686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385E69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701" w:type="dxa"/>
          </w:tcPr>
          <w:p w14:paraId="2030E7A5" w14:textId="77777777" w:rsidR="005F5B3D" w:rsidRDefault="005F5B3D" w:rsidP="0030686C">
            <w:pPr>
              <w:rPr>
                <w:sz w:val="20"/>
              </w:rPr>
            </w:pPr>
          </w:p>
          <w:p w14:paraId="7129B7F4" w14:textId="77777777" w:rsidR="00A614A2" w:rsidRDefault="00A614A2" w:rsidP="0030686C">
            <w:pPr>
              <w:rPr>
                <w:sz w:val="20"/>
              </w:rPr>
            </w:pPr>
            <w:r w:rsidRPr="00A614A2">
              <w:rPr>
                <w:sz w:val="20"/>
              </w:rPr>
              <w:t>Sozialarbeiter/-in</w:t>
            </w:r>
          </w:p>
          <w:p w14:paraId="0F33586C" w14:textId="688309AB" w:rsidR="000F0539" w:rsidRPr="006E0575" w:rsidRDefault="00A614A2" w:rsidP="0030686C">
            <w:pPr>
              <w:rPr>
                <w:sz w:val="20"/>
              </w:rPr>
            </w:pPr>
            <w:r>
              <w:rPr>
                <w:sz w:val="20"/>
              </w:rPr>
              <w:t>WOHNEN Plus</w:t>
            </w:r>
          </w:p>
        </w:tc>
        <w:tc>
          <w:tcPr>
            <w:tcW w:w="851" w:type="dxa"/>
            <w:shd w:val="pct12" w:color="auto" w:fill="FFFFFF"/>
          </w:tcPr>
          <w:p w14:paraId="3FD3D28B" w14:textId="77777777" w:rsidR="005F5B3D" w:rsidRDefault="005F5B3D" w:rsidP="0030686C">
            <w:pPr>
              <w:rPr>
                <w:sz w:val="20"/>
              </w:rPr>
            </w:pPr>
          </w:p>
          <w:p w14:paraId="3C40F7E3" w14:textId="6037DB5F" w:rsidR="005F5B3D" w:rsidRPr="006E0575" w:rsidRDefault="000F0539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  <w:r w:rsidR="00B84303"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23728DB1" w14:textId="77777777" w:rsidR="005F5B3D" w:rsidRDefault="005F5B3D" w:rsidP="0030686C">
            <w:pPr>
              <w:rPr>
                <w:sz w:val="20"/>
              </w:rPr>
            </w:pPr>
          </w:p>
          <w:p w14:paraId="7CB28B0D" w14:textId="1FA138CB"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6CB2">
              <w:rPr>
                <w:noProof/>
                <w:sz w:val="20"/>
              </w:rPr>
              <w:t> </w:t>
            </w:r>
            <w:r w:rsidR="00B16CB2">
              <w:rPr>
                <w:noProof/>
                <w:sz w:val="20"/>
              </w:rPr>
              <w:t> </w:t>
            </w:r>
            <w:r w:rsidR="00B16CB2">
              <w:rPr>
                <w:noProof/>
                <w:sz w:val="20"/>
              </w:rPr>
              <w:t> </w:t>
            </w:r>
            <w:r w:rsidR="00B16CB2">
              <w:rPr>
                <w:noProof/>
                <w:sz w:val="20"/>
              </w:rPr>
              <w:t> </w:t>
            </w:r>
            <w:r w:rsidR="00B16CB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14:paraId="688D6410" w14:textId="77777777" w:rsidR="005F5B3D" w:rsidRDefault="005F5B3D" w:rsidP="0030686C">
            <w:pPr>
              <w:rPr>
                <w:sz w:val="20"/>
              </w:rPr>
            </w:pPr>
          </w:p>
          <w:p w14:paraId="13449AD9" w14:textId="078685B2" w:rsidR="005F5B3D" w:rsidRPr="006E0575" w:rsidRDefault="00CA76E1" w:rsidP="0030686C">
            <w:pPr>
              <w:rPr>
                <w:sz w:val="20"/>
              </w:rPr>
            </w:pPr>
            <w:r>
              <w:rPr>
                <w:sz w:val="20"/>
              </w:rPr>
              <w:t>147.200</w:t>
            </w:r>
          </w:p>
        </w:tc>
      </w:tr>
    </w:tbl>
    <w:p w14:paraId="5EAF7B7F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0D21A955" w14:textId="77777777" w:rsidR="003D7B0B" w:rsidRDefault="003D7B0B" w:rsidP="00884D6C"/>
    <w:p w14:paraId="5F69CE76" w14:textId="2134A0C3" w:rsidR="000F0539" w:rsidRDefault="00A614A2" w:rsidP="000F0539">
      <w:r>
        <w:t>Der</w:t>
      </w:r>
      <w:r w:rsidR="000F0539">
        <w:t xml:space="preserve"> Schaffung von 2,00 Stellen für die Soziale Arbeit zur Unterstützung für die dauerhafte Sicherung des Mietverhältnisses im Kontext des Garantievertragsprogramms mit Wohnungsunternehmen „</w:t>
      </w:r>
      <w:r>
        <w:t>WOHNEN Plus</w:t>
      </w:r>
      <w:r w:rsidR="000F0539">
        <w:t>“</w:t>
      </w:r>
      <w:r>
        <w:t xml:space="preserve"> wird zugestimmt</w:t>
      </w:r>
      <w:r w:rsidR="000F0539">
        <w:t>.</w:t>
      </w:r>
    </w:p>
    <w:p w14:paraId="37083262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5081ABCC" w14:textId="77777777" w:rsidR="003D7B0B" w:rsidRDefault="003D7B0B" w:rsidP="00884D6C"/>
    <w:p w14:paraId="337B21E9" w14:textId="1C56CE0D" w:rsidR="00A614A2" w:rsidRPr="00C14948" w:rsidRDefault="00A614A2" w:rsidP="00A614A2">
      <w:r>
        <w:rPr>
          <w:rFonts w:cs="Arial"/>
          <w:color w:val="000000"/>
        </w:rPr>
        <w:t xml:space="preserve">Die Stellenschaffung ist in der „Grünen Liste“ zum Haushalt 2024/2025 enthalten. </w:t>
      </w:r>
      <w:r>
        <w:t xml:space="preserve">Auf die </w:t>
      </w:r>
      <w:r w:rsidRPr="00A614A2">
        <w:t>GRDrs. 379/2023</w:t>
      </w:r>
      <w:r>
        <w:t xml:space="preserve"> wird verwiesen. Di</w:t>
      </w:r>
      <w:r w:rsidR="00CA76E1">
        <w:t>e Stellen sind Bestandteil von „</w:t>
      </w:r>
      <w:r>
        <w:t>WOHNEN Plus“.</w:t>
      </w:r>
    </w:p>
    <w:p w14:paraId="7365ACBF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1EA11021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23F47577" w14:textId="77777777" w:rsidR="003D7B0B" w:rsidRDefault="003D7B0B" w:rsidP="00884D6C"/>
    <w:p w14:paraId="10F6B6DC" w14:textId="77777777" w:rsidR="00CA76E1" w:rsidRDefault="00A614A2" w:rsidP="0034241F">
      <w:pPr>
        <w:jc w:val="both"/>
      </w:pPr>
      <w:r>
        <w:t xml:space="preserve">Es handelt sich um eine </w:t>
      </w:r>
      <w:r w:rsidRPr="00A614A2">
        <w:t>neue Aufgabe im Kontext des Garantievertragsprogramms</w:t>
      </w:r>
      <w:r>
        <w:t xml:space="preserve"> mit Wohnungsunternehmen „WOHNEN Plus“. </w:t>
      </w:r>
      <w:r w:rsidR="0034241F" w:rsidRPr="00196046">
        <w:t xml:space="preserve">Die Grundlagen des Wohnungsakquiseprogramms </w:t>
      </w:r>
      <w:r w:rsidR="00CA76E1">
        <w:t xml:space="preserve">„WOHNEN </w:t>
      </w:r>
      <w:proofErr w:type="spellStart"/>
      <w:r w:rsidR="00CA76E1">
        <w:t>Plus“</w:t>
      </w:r>
      <w:r w:rsidR="0034241F" w:rsidRPr="00196046">
        <w:t>wurden</w:t>
      </w:r>
      <w:proofErr w:type="spellEnd"/>
      <w:r w:rsidR="0034241F" w:rsidRPr="00196046">
        <w:t xml:space="preserve"> von Wohnungsunternehmen und Sozialamt gemeinsam erarbeitet. Dabei</w:t>
      </w:r>
      <w:r w:rsidR="0034241F">
        <w:t xml:space="preserve"> </w:t>
      </w:r>
      <w:r w:rsidR="0034241F" w:rsidRPr="00B45053">
        <w:t>orientiert man</w:t>
      </w:r>
      <w:r w:rsidR="0034241F" w:rsidRPr="00196046">
        <w:t xml:space="preserve"> sich an der Konzeption des bereits bestehenden Wohnungsakquiseprogramms des Sozialamts „Garantieverträge für private Vermieter</w:t>
      </w:r>
      <w:r w:rsidR="00CA76E1">
        <w:t>/</w:t>
      </w:r>
    </w:p>
    <w:p w14:paraId="5FEC1FD0" w14:textId="513C2E86" w:rsidR="0034241F" w:rsidRDefault="00CA76E1" w:rsidP="00CA76E1">
      <w:r>
        <w:t>-</w:t>
      </w:r>
      <w:r w:rsidR="0034241F" w:rsidRPr="00196046">
        <w:t>innen“ (Kommunales Förderprogramm Wohnungsakquise für Wohnungslose und einkommensschwache Haushalte – GRDrs. 118/2019, GRDrs. 648/2020, GRDrs. 587/2022, GRDrs. 179/2023)</w:t>
      </w:r>
      <w:r w:rsidR="0034241F">
        <w:t>.</w:t>
      </w:r>
    </w:p>
    <w:p w14:paraId="182AD029" w14:textId="77777777" w:rsidR="00A614A2" w:rsidRDefault="00A614A2" w:rsidP="00974F02">
      <w:pPr>
        <w:autoSpaceDE w:val="0"/>
        <w:adjustRightInd w:val="0"/>
        <w:rPr>
          <w:rFonts w:eastAsiaTheme="minorHAnsi" w:cs="Arial"/>
          <w:bCs/>
          <w:szCs w:val="20"/>
          <w:lang w:eastAsia="en-US"/>
        </w:rPr>
      </w:pPr>
    </w:p>
    <w:p w14:paraId="0246A250" w14:textId="0326CD4C" w:rsidR="00974F02" w:rsidRDefault="00974F02" w:rsidP="00974F02">
      <w:pPr>
        <w:autoSpaceDE w:val="0"/>
        <w:adjustRightInd w:val="0"/>
        <w:rPr>
          <w:rFonts w:eastAsiaTheme="minorHAnsi" w:cs="Arial"/>
          <w:bCs/>
          <w:szCs w:val="20"/>
          <w:lang w:eastAsia="en-US"/>
        </w:rPr>
      </w:pPr>
      <w:r>
        <w:rPr>
          <w:rFonts w:eastAsiaTheme="minorHAnsi" w:cs="Arial"/>
          <w:bCs/>
          <w:szCs w:val="20"/>
          <w:lang w:eastAsia="en-US"/>
        </w:rPr>
        <w:t>Aufgrund der erfolgreichen Umsetzung des Förderprogramm</w:t>
      </w:r>
      <w:r w:rsidR="000F2022">
        <w:rPr>
          <w:rFonts w:eastAsiaTheme="minorHAnsi" w:cs="Arial"/>
          <w:bCs/>
          <w:szCs w:val="20"/>
          <w:lang w:eastAsia="en-US"/>
        </w:rPr>
        <w:t>s</w:t>
      </w:r>
      <w:r w:rsidR="00E561D1">
        <w:rPr>
          <w:rFonts w:eastAsiaTheme="minorHAnsi" w:cs="Arial"/>
          <w:bCs/>
          <w:szCs w:val="20"/>
          <w:lang w:eastAsia="en-US"/>
        </w:rPr>
        <w:t xml:space="preserve"> zwischen privaten Vermieter</w:t>
      </w:r>
      <w:r w:rsidR="00CA76E1">
        <w:rPr>
          <w:rFonts w:eastAsiaTheme="minorHAnsi" w:cs="Arial"/>
          <w:bCs/>
          <w:szCs w:val="20"/>
          <w:lang w:eastAsia="en-US"/>
        </w:rPr>
        <w:t>n/-</w:t>
      </w:r>
      <w:r>
        <w:rPr>
          <w:rFonts w:eastAsiaTheme="minorHAnsi" w:cs="Arial"/>
          <w:bCs/>
          <w:szCs w:val="20"/>
          <w:lang w:eastAsia="en-US"/>
        </w:rPr>
        <w:t xml:space="preserve">innen und dem Sozialamt und nachdem ein solches Programm auch von Wohnungsunternehmen nachgefragt wurde, wird nun auch im Rahmen des Bündnisses für Wohnen 2.0 </w:t>
      </w:r>
      <w:r w:rsidR="001241ED">
        <w:rPr>
          <w:rFonts w:eastAsiaTheme="minorHAnsi" w:cs="Arial"/>
          <w:bCs/>
          <w:szCs w:val="20"/>
          <w:lang w:eastAsia="en-US"/>
        </w:rPr>
        <w:t xml:space="preserve">unter der Leitung des Oberbürgermeisters </w:t>
      </w:r>
      <w:r>
        <w:rPr>
          <w:rFonts w:eastAsiaTheme="minorHAnsi" w:cs="Arial"/>
          <w:bCs/>
          <w:szCs w:val="20"/>
          <w:lang w:eastAsia="en-US"/>
        </w:rPr>
        <w:t>ein entsprechendes Programm für Wohnungsbauunternehmen, das Garantievertragsprogramm „</w:t>
      </w:r>
      <w:r w:rsidR="00A614A2">
        <w:rPr>
          <w:rFonts w:eastAsiaTheme="minorHAnsi" w:cs="Arial"/>
          <w:bCs/>
          <w:szCs w:val="20"/>
          <w:lang w:eastAsia="en-US"/>
        </w:rPr>
        <w:t>WOHNEN Plus</w:t>
      </w:r>
      <w:r>
        <w:rPr>
          <w:rFonts w:eastAsiaTheme="minorHAnsi" w:cs="Arial"/>
          <w:bCs/>
          <w:szCs w:val="20"/>
          <w:lang w:eastAsia="en-US"/>
        </w:rPr>
        <w:t>“</w:t>
      </w:r>
      <w:r w:rsidR="00E561D1">
        <w:rPr>
          <w:rFonts w:eastAsiaTheme="minorHAnsi" w:cs="Arial"/>
          <w:bCs/>
          <w:szCs w:val="20"/>
          <w:lang w:eastAsia="en-US"/>
        </w:rPr>
        <w:t>,</w:t>
      </w:r>
      <w:r>
        <w:rPr>
          <w:rFonts w:eastAsiaTheme="minorHAnsi" w:cs="Arial"/>
          <w:bCs/>
          <w:szCs w:val="20"/>
          <w:lang w:eastAsia="en-US"/>
        </w:rPr>
        <w:t xml:space="preserve"> als </w:t>
      </w:r>
      <w:r>
        <w:rPr>
          <w:rFonts w:eastAsiaTheme="minorHAnsi" w:cs="Arial"/>
          <w:bCs/>
          <w:szCs w:val="20"/>
          <w:lang w:eastAsia="en-US"/>
        </w:rPr>
        <w:lastRenderedPageBreak/>
        <w:t>weitere Säule zur Verringerung von Wohnungslosigkeit durch das Sozialamt</w:t>
      </w:r>
      <w:r w:rsidR="00A614A2">
        <w:rPr>
          <w:rFonts w:eastAsiaTheme="minorHAnsi" w:cs="Arial"/>
          <w:bCs/>
          <w:szCs w:val="20"/>
          <w:lang w:eastAsia="en-US"/>
        </w:rPr>
        <w:t xml:space="preserve"> entsprechend der GRDrs</w:t>
      </w:r>
      <w:r w:rsidR="00CA76E1">
        <w:rPr>
          <w:rFonts w:eastAsiaTheme="minorHAnsi" w:cs="Arial"/>
          <w:bCs/>
          <w:szCs w:val="20"/>
          <w:lang w:eastAsia="en-US"/>
        </w:rPr>
        <w:t>.</w:t>
      </w:r>
      <w:r w:rsidR="00A614A2">
        <w:rPr>
          <w:rFonts w:eastAsiaTheme="minorHAnsi" w:cs="Arial"/>
          <w:bCs/>
          <w:szCs w:val="20"/>
          <w:lang w:eastAsia="en-US"/>
        </w:rPr>
        <w:t xml:space="preserve"> </w:t>
      </w:r>
      <w:r w:rsidR="00A614A2" w:rsidRPr="00D624C8">
        <w:rPr>
          <w:rFonts w:eastAsiaTheme="minorHAnsi" w:cs="Arial"/>
          <w:bCs/>
          <w:szCs w:val="20"/>
          <w:lang w:eastAsia="en-US"/>
        </w:rPr>
        <w:t>379/2023</w:t>
      </w:r>
      <w:r w:rsidR="00A614A2">
        <w:rPr>
          <w:rFonts w:eastAsiaTheme="minorHAnsi" w:cs="Arial"/>
          <w:bCs/>
          <w:szCs w:val="20"/>
          <w:lang w:eastAsia="en-US"/>
        </w:rPr>
        <w:t xml:space="preserve"> umgesetzt.</w:t>
      </w:r>
      <w:r>
        <w:rPr>
          <w:rFonts w:eastAsiaTheme="minorHAnsi" w:cs="Arial"/>
          <w:bCs/>
          <w:szCs w:val="20"/>
          <w:lang w:eastAsia="en-US"/>
        </w:rPr>
        <w:t xml:space="preserve"> </w:t>
      </w:r>
    </w:p>
    <w:p w14:paraId="482894F5" w14:textId="77777777" w:rsidR="0034241F" w:rsidRDefault="0034241F" w:rsidP="00974F02">
      <w:pPr>
        <w:autoSpaceDE w:val="0"/>
        <w:adjustRightInd w:val="0"/>
        <w:rPr>
          <w:rFonts w:eastAsiaTheme="minorHAnsi" w:cs="Arial"/>
          <w:bCs/>
          <w:szCs w:val="20"/>
          <w:lang w:eastAsia="en-US"/>
        </w:rPr>
      </w:pPr>
    </w:p>
    <w:p w14:paraId="157F7D53" w14:textId="2E7D20F1" w:rsidR="0034241F" w:rsidRDefault="0034241F" w:rsidP="00974F02">
      <w:pPr>
        <w:autoSpaceDE w:val="0"/>
        <w:adjustRightInd w:val="0"/>
        <w:rPr>
          <w:rFonts w:eastAsiaTheme="minorHAnsi" w:cs="Arial"/>
          <w:bCs/>
          <w:szCs w:val="20"/>
          <w:lang w:eastAsia="en-US"/>
        </w:rPr>
      </w:pPr>
      <w:r>
        <w:t>Es</w:t>
      </w:r>
      <w:r w:rsidRPr="00196046">
        <w:t xml:space="preserve"> </w:t>
      </w:r>
      <w:r w:rsidRPr="00196046">
        <w:rPr>
          <w:noProof/>
        </w:rPr>
        <w:t xml:space="preserve">soll </w:t>
      </w:r>
      <w:r>
        <w:rPr>
          <w:noProof/>
        </w:rPr>
        <w:t xml:space="preserve">nach Bedarf </w:t>
      </w:r>
      <w:r w:rsidRPr="00196046">
        <w:rPr>
          <w:noProof/>
        </w:rPr>
        <w:t xml:space="preserve">zur </w:t>
      </w:r>
      <w:r w:rsidRPr="00196046">
        <w:rPr>
          <w:rFonts w:cs="Arial"/>
        </w:rPr>
        <w:t>dauerhaften Sicherung der Mietverhältnisse</w:t>
      </w:r>
      <w:r w:rsidRPr="00196046">
        <w:rPr>
          <w:noProof/>
        </w:rPr>
        <w:t xml:space="preserve"> flankierend soziale Unterstützung von Sozialarbeiter</w:t>
      </w:r>
      <w:r w:rsidR="00CA76E1">
        <w:rPr>
          <w:noProof/>
        </w:rPr>
        <w:t>/-</w:t>
      </w:r>
      <w:r w:rsidRPr="00196046">
        <w:rPr>
          <w:noProof/>
        </w:rPr>
        <w:t xml:space="preserve">innen </w:t>
      </w:r>
      <w:r>
        <w:rPr>
          <w:noProof/>
        </w:rPr>
        <w:t>an</w:t>
      </w:r>
      <w:r w:rsidRPr="00196046">
        <w:rPr>
          <w:noProof/>
        </w:rPr>
        <w:t>geboten werden</w:t>
      </w:r>
      <w:r>
        <w:rPr>
          <w:noProof/>
        </w:rPr>
        <w:t>. Die sozialarbeiterische Begleitung ist im besten Fall nach dem Ablauf der Garantiezeit nicht mehr nötig beziehungsweise wird vom Regelsystem übernommen.</w:t>
      </w:r>
    </w:p>
    <w:p w14:paraId="6ACD7EFF" w14:textId="77777777" w:rsidR="00974F02" w:rsidRDefault="00974F02" w:rsidP="00974F02">
      <w:pPr>
        <w:rPr>
          <w:rFonts w:eastAsiaTheme="minorHAnsi" w:cs="Arial"/>
          <w:bCs/>
          <w:szCs w:val="20"/>
          <w:lang w:eastAsia="en-US"/>
        </w:rPr>
      </w:pPr>
    </w:p>
    <w:p w14:paraId="6F98006E" w14:textId="714593DE" w:rsidR="00815696" w:rsidRPr="00F778FB" w:rsidRDefault="000F2022" w:rsidP="00F778FB">
      <w:pPr>
        <w:rPr>
          <w:rFonts w:cs="Arial"/>
        </w:rPr>
      </w:pPr>
      <w:r w:rsidRPr="000F2022">
        <w:rPr>
          <w:rFonts w:cs="Arial"/>
        </w:rPr>
        <w:t>Ausgehend von den Daten und Erfahrungen im Förde</w:t>
      </w:r>
      <w:r w:rsidR="00B16CB2">
        <w:rPr>
          <w:rFonts w:cs="Arial"/>
        </w:rPr>
        <w:t>rprogramm für private Vermieter/</w:t>
      </w:r>
      <w:r w:rsidR="00B16CB2">
        <w:rPr>
          <w:rFonts w:cs="Arial"/>
        </w:rPr>
        <w:br/>
        <w:t>-</w:t>
      </w:r>
      <w:bookmarkStart w:id="0" w:name="_GoBack"/>
      <w:bookmarkEnd w:id="0"/>
      <w:r w:rsidRPr="000F2022">
        <w:rPr>
          <w:rFonts w:cs="Arial"/>
        </w:rPr>
        <w:t xml:space="preserve">innen ist </w:t>
      </w:r>
      <w:r w:rsidR="000368E3">
        <w:rPr>
          <w:rFonts w:cs="Arial"/>
        </w:rPr>
        <w:t>von</w:t>
      </w:r>
      <w:r w:rsidR="00987853">
        <w:rPr>
          <w:rFonts w:cs="Arial"/>
        </w:rPr>
        <w:t xml:space="preserve"> jährlich </w:t>
      </w:r>
      <w:r w:rsidR="00B837B4">
        <w:rPr>
          <w:rFonts w:cs="Arial"/>
        </w:rPr>
        <w:t xml:space="preserve">mindestens </w:t>
      </w:r>
      <w:r w:rsidR="00987853">
        <w:rPr>
          <w:rFonts w:cs="Arial"/>
        </w:rPr>
        <w:t>20</w:t>
      </w:r>
      <w:r w:rsidR="00B837B4">
        <w:rPr>
          <w:rFonts w:cs="Arial"/>
        </w:rPr>
        <w:t xml:space="preserve"> neuen</w:t>
      </w:r>
      <w:r w:rsidR="000368E3">
        <w:rPr>
          <w:rFonts w:cs="Arial"/>
        </w:rPr>
        <w:t xml:space="preserve"> Wohnungen</w:t>
      </w:r>
      <w:r w:rsidR="00B837B4">
        <w:rPr>
          <w:rFonts w:cs="Arial"/>
        </w:rPr>
        <w:t xml:space="preserve"> </w:t>
      </w:r>
      <w:r w:rsidR="000368E3">
        <w:rPr>
          <w:rFonts w:cs="Arial"/>
        </w:rPr>
        <w:t>auszugehen, die</w:t>
      </w:r>
      <w:r w:rsidRPr="000F2022">
        <w:rPr>
          <w:rFonts w:cs="Arial"/>
        </w:rPr>
        <w:t xml:space="preserve"> von den Wohnungsunternehmen im Garantiever</w:t>
      </w:r>
      <w:r w:rsidR="000368E3">
        <w:rPr>
          <w:rFonts w:cs="Arial"/>
        </w:rPr>
        <w:t>tragsprogramm „</w:t>
      </w:r>
      <w:r w:rsidR="00A614A2">
        <w:rPr>
          <w:rFonts w:cs="Arial"/>
        </w:rPr>
        <w:t>WOHNEN Plus</w:t>
      </w:r>
      <w:r w:rsidR="000368E3">
        <w:rPr>
          <w:rFonts w:cs="Arial"/>
        </w:rPr>
        <w:t>“ zur Verfügung gestellt</w:t>
      </w:r>
      <w:r w:rsidRPr="000F2022">
        <w:rPr>
          <w:rFonts w:cs="Arial"/>
        </w:rPr>
        <w:t xml:space="preserve"> </w:t>
      </w:r>
      <w:r w:rsidR="000368E3">
        <w:rPr>
          <w:rFonts w:cs="Arial"/>
        </w:rPr>
        <w:t>werden</w:t>
      </w:r>
      <w:r w:rsidR="00B837B4">
        <w:rPr>
          <w:rFonts w:cs="Arial"/>
        </w:rPr>
        <w:t xml:space="preserve">. Damit wird für die ersten zwei Jahre von insgesamt 40 Wohnungen ausgegangen. Dies erfordert zum jetzigen Zeitpunkt eine </w:t>
      </w:r>
      <w:r w:rsidR="000368E3">
        <w:rPr>
          <w:rFonts w:cs="Arial"/>
        </w:rPr>
        <w:t>Schaffung von 2,0 S</w:t>
      </w:r>
      <w:r w:rsidR="00CA76E1">
        <w:rPr>
          <w:rFonts w:cs="Arial"/>
        </w:rPr>
        <w:t>tellen für Sozialarbeiter/-</w:t>
      </w:r>
      <w:r w:rsidR="00B837B4">
        <w:rPr>
          <w:rFonts w:cs="Arial"/>
        </w:rPr>
        <w:t>innen</w:t>
      </w:r>
      <w:r w:rsidR="000368E3">
        <w:rPr>
          <w:rFonts w:cs="Arial"/>
        </w:rPr>
        <w:t xml:space="preserve">. </w:t>
      </w:r>
    </w:p>
    <w:p w14:paraId="44CFDE01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7584AF44" w14:textId="77777777" w:rsidR="003D7B0B" w:rsidRDefault="003D7B0B" w:rsidP="00884D6C"/>
    <w:p w14:paraId="7E44BAE9" w14:textId="0F004C01" w:rsidR="00D77313" w:rsidRDefault="00D77313" w:rsidP="00D77313">
      <w:r>
        <w:t>Bei</w:t>
      </w:r>
      <w:r w:rsidR="00CA76E1">
        <w:t xml:space="preserve"> der Aufgabe der Sozialarbeiter/-</w:t>
      </w:r>
      <w:r>
        <w:t>in</w:t>
      </w:r>
      <w:r w:rsidR="00B837B4">
        <w:t>nen</w:t>
      </w:r>
      <w:r>
        <w:t xml:space="preserve"> als soziale Unterstützung zur dauerhaften Sicherung des Mietverhältnisses handelt es sich um eine neue Aufgabe, für die bisher beim Sozialamt keine personellen Ressourcen zur Verfügung stehen. </w:t>
      </w:r>
    </w:p>
    <w:p w14:paraId="2DC37C8C" w14:textId="77777777" w:rsidR="003D7B0B" w:rsidRDefault="003D7B0B" w:rsidP="00884D6C"/>
    <w:p w14:paraId="3F8DE319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414E0090" w14:textId="77777777" w:rsidR="003D7B0B" w:rsidRDefault="003D7B0B" w:rsidP="00884D6C"/>
    <w:p w14:paraId="68785CEA" w14:textId="1C4B2729" w:rsidR="00D77313" w:rsidRDefault="00D77313" w:rsidP="00D77313">
      <w:pPr>
        <w:autoSpaceDE w:val="0"/>
        <w:adjustRightInd w:val="0"/>
      </w:pPr>
      <w:r>
        <w:t>Falls die Stellen nicht geschaffen werden, können die mit dem Garantievertrag verbundenen notwendigen sozialen Unterstützungsleistungen nicht übernommen werden, die zentraler Bestandteil des Konzepts „</w:t>
      </w:r>
      <w:r w:rsidR="00A614A2">
        <w:t>WOHNEN Plus</w:t>
      </w:r>
      <w:r>
        <w:t>“ sind. Somit k</w:t>
      </w:r>
      <w:r w:rsidR="001241ED">
        <w:t>ann</w:t>
      </w:r>
      <w:r>
        <w:t xml:space="preserve"> das gesamte Konzept nicht umgesetzt werden.</w:t>
      </w:r>
    </w:p>
    <w:p w14:paraId="6C917D95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248BB1A5" w14:textId="77777777" w:rsidR="003D7B0B" w:rsidRDefault="003D7B0B" w:rsidP="00884D6C"/>
    <w:p w14:paraId="1E2ACBCE" w14:textId="634D06AF" w:rsidR="00DE362D" w:rsidRDefault="00A614A2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E90F4" w14:textId="77777777" w:rsidR="00951B19" w:rsidRDefault="00951B19">
      <w:r>
        <w:separator/>
      </w:r>
    </w:p>
  </w:endnote>
  <w:endnote w:type="continuationSeparator" w:id="0">
    <w:p w14:paraId="391E2F87" w14:textId="77777777" w:rsidR="00951B19" w:rsidRDefault="0095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61C6" w14:textId="77777777" w:rsidR="00951B19" w:rsidRDefault="00951B19">
      <w:r>
        <w:separator/>
      </w:r>
    </w:p>
  </w:footnote>
  <w:footnote w:type="continuationSeparator" w:id="0">
    <w:p w14:paraId="566CA494" w14:textId="77777777" w:rsidR="00951B19" w:rsidRDefault="0095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A7F8" w14:textId="267B9C99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16CB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0D17867A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9"/>
    <w:rsid w:val="00026253"/>
    <w:rsid w:val="000368E3"/>
    <w:rsid w:val="00055758"/>
    <w:rsid w:val="0006148F"/>
    <w:rsid w:val="00061F0B"/>
    <w:rsid w:val="000A1146"/>
    <w:rsid w:val="000C32A7"/>
    <w:rsid w:val="000F0539"/>
    <w:rsid w:val="000F2022"/>
    <w:rsid w:val="001034AF"/>
    <w:rsid w:val="0011112B"/>
    <w:rsid w:val="001241ED"/>
    <w:rsid w:val="001261E2"/>
    <w:rsid w:val="0014415D"/>
    <w:rsid w:val="00151488"/>
    <w:rsid w:val="00163034"/>
    <w:rsid w:val="00164678"/>
    <w:rsid w:val="00165C0D"/>
    <w:rsid w:val="00175952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10ACA"/>
    <w:rsid w:val="0034241F"/>
    <w:rsid w:val="00343FF0"/>
    <w:rsid w:val="00380937"/>
    <w:rsid w:val="00385E69"/>
    <w:rsid w:val="00397717"/>
    <w:rsid w:val="003D7B0B"/>
    <w:rsid w:val="003E0F4B"/>
    <w:rsid w:val="003F0FAA"/>
    <w:rsid w:val="0040419D"/>
    <w:rsid w:val="00465492"/>
    <w:rsid w:val="00470135"/>
    <w:rsid w:val="0047606A"/>
    <w:rsid w:val="004908B5"/>
    <w:rsid w:val="0049121B"/>
    <w:rsid w:val="004A1688"/>
    <w:rsid w:val="004B6796"/>
    <w:rsid w:val="005A0A9D"/>
    <w:rsid w:val="005A56AA"/>
    <w:rsid w:val="005B7B56"/>
    <w:rsid w:val="005E19C6"/>
    <w:rsid w:val="005F5B3D"/>
    <w:rsid w:val="00606F80"/>
    <w:rsid w:val="00622CC7"/>
    <w:rsid w:val="006A406B"/>
    <w:rsid w:val="006B6D50"/>
    <w:rsid w:val="006C41A4"/>
    <w:rsid w:val="006E0575"/>
    <w:rsid w:val="0072799A"/>
    <w:rsid w:val="0075284E"/>
    <w:rsid w:val="00754659"/>
    <w:rsid w:val="007828C0"/>
    <w:rsid w:val="007E3B79"/>
    <w:rsid w:val="008066EE"/>
    <w:rsid w:val="00815696"/>
    <w:rsid w:val="00817BB6"/>
    <w:rsid w:val="00884D6C"/>
    <w:rsid w:val="00901C82"/>
    <w:rsid w:val="00920F00"/>
    <w:rsid w:val="009373F6"/>
    <w:rsid w:val="00946276"/>
    <w:rsid w:val="00951B19"/>
    <w:rsid w:val="0096038F"/>
    <w:rsid w:val="00974F02"/>
    <w:rsid w:val="00976588"/>
    <w:rsid w:val="00987853"/>
    <w:rsid w:val="00A27CA7"/>
    <w:rsid w:val="00A45B30"/>
    <w:rsid w:val="00A614A2"/>
    <w:rsid w:val="00A71D0A"/>
    <w:rsid w:val="00A77F1E"/>
    <w:rsid w:val="00A847C4"/>
    <w:rsid w:val="00AB389D"/>
    <w:rsid w:val="00AE7B02"/>
    <w:rsid w:val="00AF0DEA"/>
    <w:rsid w:val="00AF25E0"/>
    <w:rsid w:val="00B04290"/>
    <w:rsid w:val="00B16CB2"/>
    <w:rsid w:val="00B80DEF"/>
    <w:rsid w:val="00B837B4"/>
    <w:rsid w:val="00B84303"/>
    <w:rsid w:val="00B86BB5"/>
    <w:rsid w:val="00B91903"/>
    <w:rsid w:val="00BC4669"/>
    <w:rsid w:val="00BD3885"/>
    <w:rsid w:val="00C16EF1"/>
    <w:rsid w:val="00C448D3"/>
    <w:rsid w:val="00CA76E1"/>
    <w:rsid w:val="00CF62E5"/>
    <w:rsid w:val="00D04049"/>
    <w:rsid w:val="00D17A58"/>
    <w:rsid w:val="00D66D3A"/>
    <w:rsid w:val="00D743D4"/>
    <w:rsid w:val="00D77313"/>
    <w:rsid w:val="00DB3D6C"/>
    <w:rsid w:val="00DE362D"/>
    <w:rsid w:val="00E014B6"/>
    <w:rsid w:val="00E1162F"/>
    <w:rsid w:val="00E11D5F"/>
    <w:rsid w:val="00E20E1F"/>
    <w:rsid w:val="00E42F96"/>
    <w:rsid w:val="00E561D1"/>
    <w:rsid w:val="00E7118F"/>
    <w:rsid w:val="00F27657"/>
    <w:rsid w:val="00F342DC"/>
    <w:rsid w:val="00F56F93"/>
    <w:rsid w:val="00F63041"/>
    <w:rsid w:val="00F76452"/>
    <w:rsid w:val="00F778FB"/>
    <w:rsid w:val="00FB0291"/>
    <w:rsid w:val="00FD1D0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5FD90"/>
  <w15:docId w15:val="{0FA0F838-58CC-43B2-B1D4-AB4B4A4E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0368E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368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368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68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68E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0368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0A070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391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Sodenkamp, Anja</dc:creator>
  <cp:lastModifiedBy>Baumann, Gerhard</cp:lastModifiedBy>
  <cp:revision>6</cp:revision>
  <cp:lastPrinted>2023-10-30T09:49:00Z</cp:lastPrinted>
  <dcterms:created xsi:type="dcterms:W3CDTF">2023-09-14T06:48:00Z</dcterms:created>
  <dcterms:modified xsi:type="dcterms:W3CDTF">2023-10-30T09:49:00Z</dcterms:modified>
</cp:coreProperties>
</file>