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E1D6F">
        <w:t>2</w:t>
      </w:r>
      <w:r w:rsidR="000C0A1F">
        <w:t>1</w:t>
      </w:r>
      <w:r w:rsidRPr="006E0575">
        <w:t xml:space="preserve"> zur GRDrs</w:t>
      </w:r>
      <w:r w:rsidR="0084059E">
        <w:t>.</w:t>
      </w:r>
      <w:r w:rsidRPr="006E0575">
        <w:t xml:space="preserve"> </w:t>
      </w:r>
      <w:r w:rsidR="0084059E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02062F" w:rsidRPr="0002062F" w:rsidRDefault="0002062F" w:rsidP="0002062F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Verlängerung von </w:t>
      </w:r>
      <w:r w:rsidRPr="0002062F">
        <w:rPr>
          <w:b/>
          <w:sz w:val="36"/>
          <w:szCs w:val="36"/>
          <w:u w:val="single"/>
        </w:rPr>
        <w:t>Ermächti</w:t>
      </w:r>
      <w:r w:rsidRPr="0002062F">
        <w:rPr>
          <w:b/>
          <w:sz w:val="36"/>
          <w:szCs w:val="36"/>
        </w:rPr>
        <w:t>g</w:t>
      </w:r>
      <w:r w:rsidRPr="0002062F">
        <w:rPr>
          <w:b/>
          <w:sz w:val="36"/>
          <w:szCs w:val="36"/>
          <w:u w:val="single"/>
        </w:rPr>
        <w:t>un</w:t>
      </w:r>
      <w:r w:rsidRPr="0002062F">
        <w:rPr>
          <w:b/>
          <w:sz w:val="36"/>
          <w:szCs w:val="36"/>
        </w:rPr>
        <w:t>g</w:t>
      </w:r>
      <w:r>
        <w:rPr>
          <w:b/>
          <w:sz w:val="36"/>
          <w:szCs w:val="36"/>
          <w:u w:val="single"/>
        </w:rPr>
        <w:t>en</w:t>
      </w:r>
      <w:r w:rsidRPr="0002062F">
        <w:rPr>
          <w:b/>
          <w:sz w:val="36"/>
          <w:szCs w:val="36"/>
          <w:u w:val="single"/>
        </w:rPr>
        <w:br/>
        <w:t>zur Einstellun</w:t>
      </w:r>
      <w:r w:rsidRPr="0002062F">
        <w:rPr>
          <w:b/>
          <w:sz w:val="36"/>
          <w:szCs w:val="36"/>
        </w:rPr>
        <w:t>g</w:t>
      </w:r>
      <w:r w:rsidRPr="0002062F">
        <w:rPr>
          <w:b/>
          <w:sz w:val="36"/>
          <w:szCs w:val="36"/>
          <w:u w:val="single"/>
        </w:rPr>
        <w:t xml:space="preserve"> von Personal </w:t>
      </w:r>
      <w:r w:rsidRPr="0002062F">
        <w:rPr>
          <w:b/>
          <w:sz w:val="36"/>
          <w:szCs w:val="36"/>
          <w:u w:val="single"/>
        </w:rPr>
        <w:br/>
        <w:t>außerhalb des Stellenplans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213"/>
        <w:gridCol w:w="1509"/>
      </w:tblGrid>
      <w:tr w:rsidR="005F5B3D" w:rsidRPr="006E0575" w:rsidTr="0002062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02062F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Umfang in Vollzeitkräften</w:t>
            </w:r>
          </w:p>
        </w:tc>
        <w:tc>
          <w:tcPr>
            <w:tcW w:w="1213" w:type="dxa"/>
            <w:shd w:val="pct12" w:color="auto" w:fill="FFFFFF"/>
          </w:tcPr>
          <w:p w:rsidR="005F5B3D" w:rsidRDefault="0002062F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Befristung</w:t>
            </w:r>
          </w:p>
          <w:p w:rsidR="0002062F" w:rsidRDefault="0002062F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02062F" w:rsidRPr="0002062F" w:rsidRDefault="0002062F" w:rsidP="003E0F4B">
            <w:pPr>
              <w:spacing w:before="120" w:after="120" w:line="200" w:lineRule="exact"/>
              <w:rPr>
                <w:b/>
                <w:sz w:val="16"/>
                <w:szCs w:val="16"/>
              </w:rPr>
            </w:pPr>
            <w:r w:rsidRPr="0002062F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09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02062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02062F" w:rsidP="00820C30">
            <w:pPr>
              <w:rPr>
                <w:sz w:val="20"/>
              </w:rPr>
            </w:pPr>
            <w:r>
              <w:rPr>
                <w:sz w:val="20"/>
              </w:rPr>
              <w:t>060.2900.750</w:t>
            </w:r>
          </w:p>
          <w:p w:rsidR="0002062F" w:rsidRDefault="0002062F" w:rsidP="00820C30">
            <w:pPr>
              <w:rPr>
                <w:sz w:val="20"/>
              </w:rPr>
            </w:pPr>
          </w:p>
          <w:p w:rsidR="0002062F" w:rsidRDefault="0002062F" w:rsidP="00820C30">
            <w:pPr>
              <w:rPr>
                <w:sz w:val="20"/>
              </w:rPr>
            </w:pPr>
            <w:r>
              <w:rPr>
                <w:sz w:val="20"/>
              </w:rPr>
              <w:t>060.2900.745</w:t>
            </w:r>
          </w:p>
          <w:p w:rsidR="00820C30" w:rsidRDefault="00820C30" w:rsidP="00820C30">
            <w:pPr>
              <w:rPr>
                <w:sz w:val="20"/>
              </w:rPr>
            </w:pPr>
          </w:p>
          <w:p w:rsidR="0011112B" w:rsidRDefault="006468C7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84059E">
              <w:rPr>
                <w:sz w:val="20"/>
              </w:rPr>
              <w:t xml:space="preserve"> </w:t>
            </w:r>
            <w:r>
              <w:rPr>
                <w:sz w:val="20"/>
              </w:rPr>
              <w:t>5170</w:t>
            </w:r>
          </w:p>
          <w:p w:rsidR="005F5B3D" w:rsidRPr="006E0575" w:rsidRDefault="005F5B3D" w:rsidP="00E51ED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A587D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1</w:t>
            </w:r>
            <w:r w:rsidR="0002062F">
              <w:rPr>
                <w:sz w:val="20"/>
              </w:rPr>
              <w:t>0</w:t>
            </w:r>
          </w:p>
          <w:p w:rsidR="00D25466" w:rsidRDefault="00D25466" w:rsidP="000F0C24">
            <w:pPr>
              <w:rPr>
                <w:sz w:val="20"/>
              </w:rPr>
            </w:pP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820C30" w:rsidRPr="006E0575" w:rsidRDefault="00820C30" w:rsidP="0002062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16B57" w:rsidRDefault="0002062F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  <w:p w:rsidR="00820C30" w:rsidRPr="006E0575" w:rsidRDefault="0002062F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887768" w:rsidRDefault="0002062F" w:rsidP="00887768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  <w:r w:rsidR="00887768" w:rsidRPr="00887768">
              <w:rPr>
                <w:sz w:val="20"/>
              </w:rPr>
              <w:t xml:space="preserve">  </w:t>
            </w:r>
          </w:p>
          <w:p w:rsidR="00D25466" w:rsidRPr="00887768" w:rsidRDefault="00D25466" w:rsidP="00887768">
            <w:pPr>
              <w:rPr>
                <w:sz w:val="20"/>
              </w:rPr>
            </w:pPr>
          </w:p>
          <w:p w:rsidR="00820C30" w:rsidRPr="006E0575" w:rsidRDefault="0002062F" w:rsidP="00887768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  <w:r w:rsidR="00887768" w:rsidRPr="00887768">
              <w:rPr>
                <w:sz w:val="20"/>
              </w:rPr>
              <w:t xml:space="preserve"> </w:t>
            </w:r>
          </w:p>
        </w:tc>
        <w:tc>
          <w:tcPr>
            <w:tcW w:w="1213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2062F" w:rsidP="0030686C">
            <w:pPr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02062F" w:rsidRDefault="0002062F" w:rsidP="0030686C">
            <w:pPr>
              <w:rPr>
                <w:sz w:val="20"/>
              </w:rPr>
            </w:pPr>
          </w:p>
          <w:p w:rsidR="0002062F" w:rsidRPr="0002062F" w:rsidRDefault="0002062F" w:rsidP="0030686C">
            <w:pPr>
              <w:rPr>
                <w:b/>
                <w:sz w:val="20"/>
              </w:rPr>
            </w:pPr>
            <w:r w:rsidRPr="0002062F">
              <w:rPr>
                <w:b/>
                <w:sz w:val="20"/>
              </w:rPr>
              <w:t>31.12.2027</w:t>
            </w:r>
          </w:p>
        </w:tc>
        <w:tc>
          <w:tcPr>
            <w:tcW w:w="1509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8D5278" w:rsidRPr="006E0575" w:rsidRDefault="008D5278" w:rsidP="0002062F">
            <w:pPr>
              <w:rPr>
                <w:sz w:val="20"/>
              </w:rPr>
            </w:pPr>
          </w:p>
        </w:tc>
      </w:tr>
    </w:tbl>
    <w:p w:rsidR="003D7B0B" w:rsidRPr="00884D6C" w:rsidRDefault="003D7B0B" w:rsidP="00884D6C">
      <w:pPr>
        <w:pStyle w:val="berschrift1"/>
      </w:pPr>
      <w:bookmarkStart w:id="0" w:name="_GoBack"/>
      <w:bookmarkEnd w:id="0"/>
      <w:r w:rsidRPr="00884D6C">
        <w:t>Antra</w:t>
      </w:r>
      <w:r w:rsidRPr="00884D6C">
        <w:rPr>
          <w:u w:val="none"/>
        </w:rPr>
        <w:t>g</w:t>
      </w:r>
    </w:p>
    <w:p w:rsidR="00434AA0" w:rsidRDefault="00434AA0" w:rsidP="00434AA0"/>
    <w:p w:rsidR="003D7B0B" w:rsidRPr="003E4147" w:rsidRDefault="00E51ED5" w:rsidP="00434AA0">
      <w:r>
        <w:t xml:space="preserve">Der </w:t>
      </w:r>
      <w:r w:rsidR="008C4D0E">
        <w:t>Verlängerung</w:t>
      </w:r>
      <w:r>
        <w:t xml:space="preserve"> der o.</w:t>
      </w:r>
      <w:r w:rsidR="00C9569B">
        <w:t xml:space="preserve"> </w:t>
      </w:r>
      <w:r>
        <w:t xml:space="preserve">g. </w:t>
      </w:r>
      <w:r w:rsidR="008C4D0E">
        <w:t xml:space="preserve">Ermächtigungen </w:t>
      </w:r>
      <w:r>
        <w:t xml:space="preserve">wird </w:t>
      </w:r>
      <w:r w:rsidR="00820C30">
        <w:t xml:space="preserve">im Zusammenhang mit den </w:t>
      </w:r>
      <w:r w:rsidR="009F2D66">
        <w:t xml:space="preserve">aktuellen Entwicklungen im Flüchtlingsbereich aufgrund des Krieges in der </w:t>
      </w:r>
      <w:r w:rsidR="00820C30">
        <w:t>Ukrain</w:t>
      </w:r>
      <w:r w:rsidR="009F2D66">
        <w:t xml:space="preserve">e </w:t>
      </w:r>
      <w:r>
        <w:t>zugestimmt.</w:t>
      </w:r>
      <w:r w:rsidR="00A6417E">
        <w:t xml:space="preserve"> </w:t>
      </w:r>
    </w:p>
    <w:p w:rsidR="003D7B0B" w:rsidRDefault="008C4D0E" w:rsidP="00884D6C">
      <w:pPr>
        <w:pStyle w:val="berschrift1"/>
      </w:pPr>
      <w:r>
        <w:t>Begründung</w:t>
      </w:r>
    </w:p>
    <w:p w:rsidR="003D7B0B" w:rsidRDefault="003D7B0B" w:rsidP="00884D6C"/>
    <w:p w:rsidR="008F6BAC" w:rsidRDefault="008F6BAC" w:rsidP="00615D6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Mit GRDrs. 630/2022 und GRDrs. 239/2022 wurden aufgrund der prognostizierten Fallzahlen im Zusammenhang mit den Entwicklungen im Flüchtlingsbereich aufgrund des Krieges in der Ukraine folgende Ermächtigungen außerhalb des Stellenplans </w:t>
      </w:r>
      <w:r w:rsidR="008B321F">
        <w:rPr>
          <w:rFonts w:cs="Arial"/>
        </w:rPr>
        <w:t xml:space="preserve">bis zum 31.12.2023 eingerichtet bzw. bis zum 31.12.2023 verlängert: 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1,00 SGL Sicherung des Lebensunterhalts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16,94 pAp ELB U25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26,22 pAp ELB Ü25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33,92 SB Leistungsgewährung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3,00 SB Qualifizierte Information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1,00 SB IuK-Angelegenheiten</w:t>
      </w:r>
    </w:p>
    <w:p w:rsidR="008B321F" w:rsidRPr="00205083" w:rsidRDefault="008B321F" w:rsidP="00C9569B">
      <w:pPr>
        <w:autoSpaceDE w:val="0"/>
        <w:autoSpaceDN w:val="0"/>
        <w:adjustRightInd w:val="0"/>
        <w:ind w:left="709"/>
        <w:rPr>
          <w:rFonts w:cs="Arial"/>
          <w:u w:val="single"/>
        </w:rPr>
      </w:pPr>
      <w:r w:rsidRPr="00205083">
        <w:rPr>
          <w:rFonts w:cs="Arial"/>
          <w:u w:val="single"/>
        </w:rPr>
        <w:t>1,00 SB Personal und Organisation</w:t>
      </w:r>
    </w:p>
    <w:p w:rsidR="00205083" w:rsidRDefault="00205083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83,08</w:t>
      </w:r>
    </w:p>
    <w:p w:rsidR="008F6BAC" w:rsidRDefault="008F6BAC" w:rsidP="00615D6C">
      <w:pPr>
        <w:autoSpaceDE w:val="0"/>
        <w:autoSpaceDN w:val="0"/>
        <w:adjustRightInd w:val="0"/>
        <w:rPr>
          <w:rFonts w:cs="Arial"/>
        </w:rPr>
      </w:pPr>
    </w:p>
    <w:p w:rsidR="00A0539F" w:rsidRPr="00887768" w:rsidRDefault="00AF0E97" w:rsidP="008C4D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Aufgrund </w:t>
      </w:r>
      <w:r w:rsidR="00887768">
        <w:rPr>
          <w:rFonts w:cs="Arial"/>
        </w:rPr>
        <w:t>der tatsächlichen Fallzahlen zum</w:t>
      </w:r>
      <w:r w:rsidR="00C933A1">
        <w:rPr>
          <w:rFonts w:cs="Arial"/>
        </w:rPr>
        <w:t xml:space="preserve"> </w:t>
      </w:r>
      <w:r w:rsidR="00887768">
        <w:rPr>
          <w:rFonts w:cs="Arial"/>
        </w:rPr>
        <w:t xml:space="preserve">30.04.2023 </w:t>
      </w:r>
      <w:r>
        <w:rPr>
          <w:rFonts w:cs="Arial"/>
        </w:rPr>
        <w:t xml:space="preserve">besteht ein Personalbedarf </w:t>
      </w:r>
      <w:r w:rsidR="00C933A1">
        <w:rPr>
          <w:rFonts w:cs="Arial"/>
        </w:rPr>
        <w:t>über den 31.12.2023 hinaus</w:t>
      </w:r>
      <w:r w:rsidR="008C4D0E">
        <w:rPr>
          <w:rFonts w:cs="Arial"/>
        </w:rPr>
        <w:t xml:space="preserve"> für insg. 1,0 VZK für die Sachbearbeitung Personal und Organisation</w:t>
      </w:r>
      <w:r w:rsidR="00A0539F">
        <w:rPr>
          <w:rFonts w:cs="Arial"/>
        </w:rPr>
        <w:t xml:space="preserve">. </w:t>
      </w:r>
    </w:p>
    <w:p w:rsidR="00205083" w:rsidRDefault="00205083" w:rsidP="00615D6C">
      <w:pPr>
        <w:autoSpaceDE w:val="0"/>
        <w:autoSpaceDN w:val="0"/>
        <w:adjustRightInd w:val="0"/>
        <w:rPr>
          <w:rFonts w:eastAsiaTheme="minorEastAsia" w:cs="Arial"/>
        </w:rPr>
      </w:pPr>
    </w:p>
    <w:p w:rsidR="00E51ED5" w:rsidRDefault="00E51ED5" w:rsidP="008C4D0E">
      <w:pPr>
        <w:pStyle w:val="berschrift2"/>
        <w:ind w:left="0" w:firstLine="0"/>
      </w:pPr>
    </w:p>
    <w:sectPr w:rsidR="00E51ED5" w:rsidSect="00E51ED5">
      <w:headerReference w:type="default" r:id="rId7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80" w:rsidRDefault="002C2B80">
      <w:r>
        <w:separator/>
      </w:r>
    </w:p>
  </w:endnote>
  <w:endnote w:type="continuationSeparator" w:id="0">
    <w:p w:rsidR="002C2B80" w:rsidRDefault="002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80" w:rsidRDefault="002C2B80">
      <w:r>
        <w:separator/>
      </w:r>
    </w:p>
  </w:footnote>
  <w:footnote w:type="continuationSeparator" w:id="0">
    <w:p w:rsidR="002C2B80" w:rsidRDefault="002C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C2C19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09308E9"/>
    <w:multiLevelType w:val="hybridMultilevel"/>
    <w:tmpl w:val="182E1B6C"/>
    <w:lvl w:ilvl="0" w:tplc="484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4B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2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5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2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B7"/>
    <w:rsid w:val="0002062F"/>
    <w:rsid w:val="00026253"/>
    <w:rsid w:val="00055758"/>
    <w:rsid w:val="00061F0B"/>
    <w:rsid w:val="00094847"/>
    <w:rsid w:val="000A1146"/>
    <w:rsid w:val="000C0A1F"/>
    <w:rsid w:val="000F0C24"/>
    <w:rsid w:val="001034AF"/>
    <w:rsid w:val="0011112B"/>
    <w:rsid w:val="00126FE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05083"/>
    <w:rsid w:val="00222E47"/>
    <w:rsid w:val="00250288"/>
    <w:rsid w:val="00266882"/>
    <w:rsid w:val="002924CB"/>
    <w:rsid w:val="00295D58"/>
    <w:rsid w:val="002A20D1"/>
    <w:rsid w:val="002A4DE3"/>
    <w:rsid w:val="002B5955"/>
    <w:rsid w:val="002C2B80"/>
    <w:rsid w:val="002F165C"/>
    <w:rsid w:val="00302DCF"/>
    <w:rsid w:val="0030686C"/>
    <w:rsid w:val="0031301A"/>
    <w:rsid w:val="00327BCA"/>
    <w:rsid w:val="00380937"/>
    <w:rsid w:val="00397717"/>
    <w:rsid w:val="003B3024"/>
    <w:rsid w:val="003D47D7"/>
    <w:rsid w:val="003D7B0B"/>
    <w:rsid w:val="003E0F4B"/>
    <w:rsid w:val="003E4147"/>
    <w:rsid w:val="003F0FAA"/>
    <w:rsid w:val="004135B7"/>
    <w:rsid w:val="00422769"/>
    <w:rsid w:val="00434AA0"/>
    <w:rsid w:val="00436874"/>
    <w:rsid w:val="00447566"/>
    <w:rsid w:val="00470135"/>
    <w:rsid w:val="0047606A"/>
    <w:rsid w:val="004908B5"/>
    <w:rsid w:val="0049121B"/>
    <w:rsid w:val="004A1688"/>
    <w:rsid w:val="004B6796"/>
    <w:rsid w:val="004D0F5B"/>
    <w:rsid w:val="00521C04"/>
    <w:rsid w:val="005272BC"/>
    <w:rsid w:val="005A0A9D"/>
    <w:rsid w:val="005A56AA"/>
    <w:rsid w:val="005E19C6"/>
    <w:rsid w:val="005E5AB9"/>
    <w:rsid w:val="005F5B3D"/>
    <w:rsid w:val="00606F80"/>
    <w:rsid w:val="00615D6C"/>
    <w:rsid w:val="00622CC7"/>
    <w:rsid w:val="006468C7"/>
    <w:rsid w:val="00656DD4"/>
    <w:rsid w:val="006A406B"/>
    <w:rsid w:val="006B6D50"/>
    <w:rsid w:val="006C2C19"/>
    <w:rsid w:val="006E0575"/>
    <w:rsid w:val="00711309"/>
    <w:rsid w:val="00722289"/>
    <w:rsid w:val="0072799A"/>
    <w:rsid w:val="00754659"/>
    <w:rsid w:val="0076298E"/>
    <w:rsid w:val="007B5DF1"/>
    <w:rsid w:val="007E3B79"/>
    <w:rsid w:val="007F5A01"/>
    <w:rsid w:val="008066EE"/>
    <w:rsid w:val="00817BB6"/>
    <w:rsid w:val="00820C30"/>
    <w:rsid w:val="0084059E"/>
    <w:rsid w:val="00855701"/>
    <w:rsid w:val="00884D6C"/>
    <w:rsid w:val="00887768"/>
    <w:rsid w:val="008975C5"/>
    <w:rsid w:val="008B321F"/>
    <w:rsid w:val="008C4D0E"/>
    <w:rsid w:val="008C7CF1"/>
    <w:rsid w:val="008D1158"/>
    <w:rsid w:val="008D5278"/>
    <w:rsid w:val="008F3B16"/>
    <w:rsid w:val="008F6BAC"/>
    <w:rsid w:val="00920F00"/>
    <w:rsid w:val="00922CE4"/>
    <w:rsid w:val="009373F6"/>
    <w:rsid w:val="00946276"/>
    <w:rsid w:val="0096038F"/>
    <w:rsid w:val="0097582E"/>
    <w:rsid w:val="00976588"/>
    <w:rsid w:val="009926B6"/>
    <w:rsid w:val="009D2749"/>
    <w:rsid w:val="009E1D6F"/>
    <w:rsid w:val="009F2D66"/>
    <w:rsid w:val="009F5AE6"/>
    <w:rsid w:val="00A00EA6"/>
    <w:rsid w:val="00A0539F"/>
    <w:rsid w:val="00A27CA7"/>
    <w:rsid w:val="00A355EA"/>
    <w:rsid w:val="00A45B30"/>
    <w:rsid w:val="00A6417E"/>
    <w:rsid w:val="00A71D0A"/>
    <w:rsid w:val="00A77F1E"/>
    <w:rsid w:val="00A847C4"/>
    <w:rsid w:val="00AB389D"/>
    <w:rsid w:val="00AE23E8"/>
    <w:rsid w:val="00AE7A77"/>
    <w:rsid w:val="00AE7B02"/>
    <w:rsid w:val="00AF0DEA"/>
    <w:rsid w:val="00AF0E97"/>
    <w:rsid w:val="00AF25E0"/>
    <w:rsid w:val="00B04290"/>
    <w:rsid w:val="00B80DEF"/>
    <w:rsid w:val="00B86BB5"/>
    <w:rsid w:val="00B91903"/>
    <w:rsid w:val="00B970C8"/>
    <w:rsid w:val="00B97651"/>
    <w:rsid w:val="00BB381C"/>
    <w:rsid w:val="00BC4669"/>
    <w:rsid w:val="00C16EF1"/>
    <w:rsid w:val="00C41955"/>
    <w:rsid w:val="00C448D3"/>
    <w:rsid w:val="00C80B79"/>
    <w:rsid w:val="00C84553"/>
    <w:rsid w:val="00C933A1"/>
    <w:rsid w:val="00C9569B"/>
    <w:rsid w:val="00CF62E5"/>
    <w:rsid w:val="00D006E5"/>
    <w:rsid w:val="00D25466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446D7"/>
    <w:rsid w:val="00E51ED5"/>
    <w:rsid w:val="00E6534B"/>
    <w:rsid w:val="00E7118F"/>
    <w:rsid w:val="00EE72F0"/>
    <w:rsid w:val="00F16B57"/>
    <w:rsid w:val="00F27657"/>
    <w:rsid w:val="00F342DC"/>
    <w:rsid w:val="00F44D68"/>
    <w:rsid w:val="00F56F93"/>
    <w:rsid w:val="00F63016"/>
    <w:rsid w:val="00F63041"/>
    <w:rsid w:val="00F76452"/>
    <w:rsid w:val="00FA587D"/>
    <w:rsid w:val="00FB7EB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7BBEF-CB1A-4460-9FB5-E5887F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126F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1379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164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Kerqota, Rineta</dc:creator>
  <cp:lastModifiedBy>Baumann, Gerhard</cp:lastModifiedBy>
  <cp:revision>6</cp:revision>
  <cp:lastPrinted>2023-10-30T09:17:00Z</cp:lastPrinted>
  <dcterms:created xsi:type="dcterms:W3CDTF">2023-10-06T08:23:00Z</dcterms:created>
  <dcterms:modified xsi:type="dcterms:W3CDTF">2023-10-30T09:17:00Z</dcterms:modified>
</cp:coreProperties>
</file>