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C0A1F">
        <w:t>10</w:t>
      </w:r>
      <w:r w:rsidRPr="006E0575">
        <w:t xml:space="preserve"> zur GRDrs</w:t>
      </w:r>
      <w:r w:rsidR="0084059E">
        <w:t>.</w:t>
      </w:r>
      <w:r w:rsidRPr="006E0575">
        <w:t xml:space="preserve"> </w:t>
      </w:r>
      <w:r w:rsidR="0084059E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44D68">
        <w:rPr>
          <w:b/>
          <w:sz w:val="36"/>
          <w:szCs w:val="36"/>
          <w:u w:val="single"/>
        </w:rPr>
        <w:t xml:space="preserve">4 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B970C8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B970C8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FA587D" w:rsidP="00820C30">
            <w:pPr>
              <w:rPr>
                <w:sz w:val="20"/>
              </w:rPr>
            </w:pPr>
            <w:r>
              <w:rPr>
                <w:sz w:val="20"/>
              </w:rPr>
              <w:t>29-4</w:t>
            </w:r>
          </w:p>
          <w:p w:rsidR="00820C30" w:rsidRDefault="00820C30" w:rsidP="00820C30">
            <w:pPr>
              <w:rPr>
                <w:sz w:val="20"/>
              </w:rPr>
            </w:pPr>
          </w:p>
          <w:p w:rsidR="0011112B" w:rsidRDefault="006468C7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84059E">
              <w:rPr>
                <w:sz w:val="20"/>
              </w:rPr>
              <w:t xml:space="preserve"> </w:t>
            </w:r>
            <w:r>
              <w:rPr>
                <w:sz w:val="20"/>
              </w:rPr>
              <w:t>5170</w:t>
            </w:r>
          </w:p>
          <w:p w:rsidR="005F5B3D" w:rsidRPr="006E0575" w:rsidRDefault="005F5B3D" w:rsidP="00E51ED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A587D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D25466" w:rsidRDefault="00D25466" w:rsidP="000F0C24">
            <w:pPr>
              <w:rPr>
                <w:sz w:val="20"/>
              </w:rPr>
            </w:pP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E6534B" w:rsidRDefault="00E6534B" w:rsidP="000F0C24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3E414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9c</w:t>
            </w:r>
          </w:p>
          <w:p w:rsidR="00F16B57" w:rsidRDefault="003E4147" w:rsidP="000F0C24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820C30" w:rsidRPr="006E0575" w:rsidRDefault="00820C30" w:rsidP="000F0C2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6298E" w:rsidRDefault="0076298E" w:rsidP="0030686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D25466">
              <w:rPr>
                <w:sz w:val="20"/>
              </w:rPr>
              <w:t>achgebietsleiter/-in</w:t>
            </w:r>
            <w:r>
              <w:rPr>
                <w:sz w:val="20"/>
              </w:rPr>
              <w:t xml:space="preserve"> LG</w:t>
            </w:r>
          </w:p>
          <w:p w:rsidR="0076298E" w:rsidRDefault="0076298E" w:rsidP="0030686C">
            <w:pPr>
              <w:rPr>
                <w:sz w:val="20"/>
              </w:rPr>
            </w:pPr>
            <w:r>
              <w:rPr>
                <w:sz w:val="20"/>
              </w:rPr>
              <w:t>pAp</w:t>
            </w:r>
            <w:r w:rsidR="0031301A">
              <w:rPr>
                <w:sz w:val="20"/>
              </w:rPr>
              <w:t xml:space="preserve"> (U25)</w:t>
            </w:r>
          </w:p>
          <w:p w:rsidR="0031301A" w:rsidRDefault="0031301A" w:rsidP="0030686C">
            <w:pPr>
              <w:rPr>
                <w:sz w:val="20"/>
              </w:rPr>
            </w:pPr>
            <w:r>
              <w:rPr>
                <w:sz w:val="20"/>
              </w:rPr>
              <w:t>pAp (Ü25)</w:t>
            </w:r>
          </w:p>
          <w:p w:rsidR="0076298E" w:rsidRDefault="0076298E" w:rsidP="0030686C">
            <w:pPr>
              <w:rPr>
                <w:sz w:val="20"/>
              </w:rPr>
            </w:pPr>
            <w:r>
              <w:rPr>
                <w:sz w:val="20"/>
              </w:rPr>
              <w:t>LG</w:t>
            </w:r>
          </w:p>
          <w:p w:rsidR="00F16B57" w:rsidRDefault="0076298E" w:rsidP="0030686C">
            <w:pPr>
              <w:rPr>
                <w:sz w:val="20"/>
              </w:rPr>
            </w:pPr>
            <w:r>
              <w:rPr>
                <w:sz w:val="20"/>
              </w:rPr>
              <w:t>QI</w:t>
            </w:r>
          </w:p>
          <w:p w:rsidR="00820C30" w:rsidRPr="006E0575" w:rsidRDefault="00820C30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887768" w:rsidRDefault="00887768" w:rsidP="00887768">
            <w:pPr>
              <w:rPr>
                <w:sz w:val="20"/>
              </w:rPr>
            </w:pPr>
            <w:r w:rsidRPr="00887768">
              <w:rPr>
                <w:sz w:val="20"/>
              </w:rPr>
              <w:t xml:space="preserve">1,00  </w:t>
            </w:r>
          </w:p>
          <w:p w:rsidR="00D25466" w:rsidRPr="00887768" w:rsidRDefault="00D25466" w:rsidP="00887768">
            <w:pPr>
              <w:rPr>
                <w:sz w:val="20"/>
              </w:rPr>
            </w:pPr>
          </w:p>
          <w:p w:rsidR="00887768" w:rsidRPr="00887768" w:rsidRDefault="00887768" w:rsidP="00887768">
            <w:pPr>
              <w:rPr>
                <w:sz w:val="20"/>
              </w:rPr>
            </w:pPr>
            <w:r w:rsidRPr="00887768">
              <w:rPr>
                <w:sz w:val="20"/>
              </w:rPr>
              <w:t xml:space="preserve">11,02 </w:t>
            </w:r>
          </w:p>
          <w:p w:rsidR="00887768" w:rsidRPr="00887768" w:rsidRDefault="00887768" w:rsidP="00887768">
            <w:pPr>
              <w:rPr>
                <w:sz w:val="20"/>
              </w:rPr>
            </w:pPr>
            <w:r w:rsidRPr="00887768">
              <w:rPr>
                <w:sz w:val="20"/>
              </w:rPr>
              <w:t xml:space="preserve">15,03 </w:t>
            </w:r>
          </w:p>
          <w:p w:rsidR="00887768" w:rsidRPr="00887768" w:rsidRDefault="00887768" w:rsidP="00887768">
            <w:pPr>
              <w:rPr>
                <w:sz w:val="20"/>
              </w:rPr>
            </w:pPr>
            <w:r w:rsidRPr="00887768">
              <w:rPr>
                <w:sz w:val="20"/>
              </w:rPr>
              <w:t xml:space="preserve">15,73 </w:t>
            </w:r>
          </w:p>
          <w:p w:rsidR="00820C30" w:rsidRPr="006E0575" w:rsidRDefault="00887768" w:rsidP="00887768">
            <w:pPr>
              <w:rPr>
                <w:sz w:val="20"/>
              </w:rPr>
            </w:pPr>
            <w:r w:rsidRPr="00887768">
              <w:rPr>
                <w:sz w:val="20"/>
              </w:rPr>
              <w:t xml:space="preserve">3,00 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13B2">
              <w:rPr>
                <w:noProof/>
                <w:sz w:val="20"/>
              </w:rPr>
              <w:t> </w:t>
            </w:r>
            <w:r w:rsidR="001713B2">
              <w:rPr>
                <w:noProof/>
                <w:sz w:val="20"/>
              </w:rPr>
              <w:t> </w:t>
            </w:r>
            <w:r w:rsidR="001713B2">
              <w:rPr>
                <w:noProof/>
                <w:sz w:val="20"/>
              </w:rPr>
              <w:t> </w:t>
            </w:r>
            <w:r w:rsidR="001713B2">
              <w:rPr>
                <w:noProof/>
                <w:sz w:val="20"/>
              </w:rPr>
              <w:t> </w:t>
            </w:r>
            <w:r w:rsidR="001713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1713B2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5F5B3D" w:rsidRDefault="001713B2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D25466">
              <w:rPr>
                <w:sz w:val="20"/>
              </w:rPr>
              <w:t>80.100</w:t>
            </w:r>
            <w:r>
              <w:rPr>
                <w:sz w:val="20"/>
              </w:rPr>
              <w:t>)</w:t>
            </w:r>
          </w:p>
          <w:p w:rsidR="00D25466" w:rsidRDefault="00D25466" w:rsidP="0030686C">
            <w:pPr>
              <w:rPr>
                <w:sz w:val="20"/>
              </w:rPr>
            </w:pPr>
          </w:p>
          <w:p w:rsidR="00D25466" w:rsidRDefault="001713B2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D25466">
              <w:rPr>
                <w:sz w:val="20"/>
              </w:rPr>
              <w:t>815.480</w:t>
            </w:r>
            <w:r>
              <w:rPr>
                <w:sz w:val="20"/>
              </w:rPr>
              <w:t>)</w:t>
            </w:r>
          </w:p>
          <w:p w:rsidR="00820C30" w:rsidRDefault="001713B2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D25466">
              <w:rPr>
                <w:sz w:val="20"/>
              </w:rPr>
              <w:t>1.112.220</w:t>
            </w:r>
            <w:r>
              <w:rPr>
                <w:sz w:val="20"/>
              </w:rPr>
              <w:t>)</w:t>
            </w:r>
          </w:p>
          <w:p w:rsidR="00820C30" w:rsidRDefault="001713B2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D25466">
              <w:rPr>
                <w:sz w:val="20"/>
              </w:rPr>
              <w:t>1.049.191</w:t>
            </w:r>
            <w:r>
              <w:rPr>
                <w:sz w:val="20"/>
              </w:rPr>
              <w:t>)</w:t>
            </w:r>
          </w:p>
          <w:p w:rsidR="00F16B57" w:rsidRDefault="001713B2" w:rsidP="008D527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D25466">
              <w:rPr>
                <w:sz w:val="20"/>
              </w:rPr>
              <w:t>160.500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  <w:p w:rsidR="008D5278" w:rsidRPr="006E0575" w:rsidRDefault="008D5278" w:rsidP="00E51ED5">
            <w:pPr>
              <w:rPr>
                <w:sz w:val="20"/>
              </w:rPr>
            </w:pPr>
          </w:p>
        </w:tc>
      </w:tr>
    </w:tbl>
    <w:p w:rsidR="00B970C8" w:rsidRDefault="00B970C8" w:rsidP="00B970C8">
      <w:pPr>
        <w:rPr>
          <w:sz w:val="16"/>
          <w:szCs w:val="16"/>
        </w:rPr>
      </w:pPr>
      <w:r>
        <w:rPr>
          <w:b/>
          <w:sz w:val="16"/>
          <w:szCs w:val="16"/>
        </w:rPr>
        <w:t>*)</w:t>
      </w:r>
      <w:r>
        <w:rPr>
          <w:rFonts w:ascii="Helv" w:hAnsi="Helv" w:cs="Helv"/>
          <w:color w:val="000000"/>
          <w:sz w:val="16"/>
          <w:szCs w:val="16"/>
        </w:rPr>
        <w:t xml:space="preserve">   </w:t>
      </w:r>
      <w:r>
        <w:rPr>
          <w:sz w:val="16"/>
          <w:szCs w:val="16"/>
        </w:rPr>
        <w:t>Gemäß Kommunalträger-Abrechnungsverwaltungsvorschrift (KoA-VV) erfolgt die Abrechnung der Personalkosten fach-</w:t>
      </w:r>
    </w:p>
    <w:p w:rsidR="00B970C8" w:rsidRDefault="00B970C8" w:rsidP="00B970C8">
      <w:pPr>
        <w:rPr>
          <w:sz w:val="16"/>
          <w:szCs w:val="16"/>
        </w:rPr>
      </w:pPr>
      <w:r>
        <w:rPr>
          <w:sz w:val="16"/>
          <w:szCs w:val="16"/>
        </w:rPr>
        <w:t xml:space="preserve">      spezifischer Stellen mit dem Bund spitz, für die Personalneben-, Sach- und Gemeinkosten werden Pauschalen zugrunde gelegt.</w:t>
      </w:r>
    </w:p>
    <w:p w:rsidR="00B970C8" w:rsidRDefault="00B970C8" w:rsidP="00B970C8">
      <w:pPr>
        <w:rPr>
          <w:sz w:val="16"/>
          <w:szCs w:val="16"/>
        </w:rPr>
      </w:pPr>
      <w:r>
        <w:rPr>
          <w:sz w:val="16"/>
          <w:szCs w:val="16"/>
        </w:rPr>
        <w:t xml:space="preserve">      Der Anteil   des Bundes an den Kosten beträgt 84,8 Prozent, der kommunale Finanzierungsanteil (KFA) beträgt 15,2 Prozent.</w:t>
      </w:r>
    </w:p>
    <w:p w:rsidR="00B970C8" w:rsidRDefault="00B970C8" w:rsidP="00B970C8">
      <w:pPr>
        <w:rPr>
          <w:sz w:val="16"/>
          <w:szCs w:val="16"/>
        </w:rPr>
      </w:pPr>
      <w:r>
        <w:rPr>
          <w:sz w:val="16"/>
          <w:szCs w:val="16"/>
        </w:rPr>
        <w:t xml:space="preserve">      Inklusive aller Pauschalen übersteigt die Erstattung des Bundes den kostenwirksamen Aufwand, der bei der LHS für die fach-</w:t>
      </w:r>
    </w:p>
    <w:p w:rsidR="00B970C8" w:rsidRPr="00694161" w:rsidRDefault="00B970C8" w:rsidP="00B970C8">
      <w:r>
        <w:rPr>
          <w:sz w:val="16"/>
          <w:szCs w:val="16"/>
        </w:rPr>
        <w:t xml:space="preserve">      spezifische(n) Stelle(n) entsteht.</w:t>
      </w: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434AA0" w:rsidRDefault="00434AA0" w:rsidP="00434AA0"/>
    <w:p w:rsidR="003D7B0B" w:rsidRPr="003E4147" w:rsidRDefault="00E51ED5" w:rsidP="00434AA0">
      <w:r>
        <w:t>Der Schaffung der o.</w:t>
      </w:r>
      <w:r w:rsidR="00C9569B">
        <w:t xml:space="preserve"> </w:t>
      </w:r>
      <w:r>
        <w:t>g. Stellen wird im Rahmen der Ablösung</w:t>
      </w:r>
      <w:r w:rsidR="005272BC" w:rsidRPr="003E4147">
        <w:t xml:space="preserve"> </w:t>
      </w:r>
      <w:r w:rsidR="009F2D66">
        <w:t>von</w:t>
      </w:r>
      <w:r w:rsidR="005272BC" w:rsidRPr="003E4147">
        <w:t xml:space="preserve"> </w:t>
      </w:r>
      <w:r>
        <w:t xml:space="preserve">den vorhandenen Ermächtigungen </w:t>
      </w:r>
      <w:r w:rsidR="00820C30">
        <w:t xml:space="preserve">im Zusammenhang mit den </w:t>
      </w:r>
      <w:r w:rsidR="009F2D66">
        <w:t xml:space="preserve">aktuellen Entwicklungen im Flüchtlingsbereich aufgrund des Krieges in der </w:t>
      </w:r>
      <w:r w:rsidR="00820C30">
        <w:t>Ukrain</w:t>
      </w:r>
      <w:r w:rsidR="009F2D66">
        <w:t xml:space="preserve">e </w:t>
      </w:r>
      <w:r>
        <w:t>zugestimmt.</w:t>
      </w:r>
      <w:r w:rsidR="00A6417E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51ED5" w:rsidRDefault="00E51ED5" w:rsidP="00E51ED5">
      <w:r>
        <w:t>Das Kriterium der „erheblichen Arbeitsvermehrung“ ist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8F6BAC" w:rsidRDefault="008F6BAC" w:rsidP="00615D6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Mit GRDrs. 630/2022 und GRDrs. 239/2022 wurden aufgrund der prognostizierten Fallzahlen im Zusammenhang mit den Entwicklungen im Flüchtlingsbereich aufgrund des Krieges in der Ukraine folgende Ermächtigungen außerhalb des Stellenplans </w:t>
      </w:r>
      <w:r w:rsidR="008B321F">
        <w:rPr>
          <w:rFonts w:cs="Arial"/>
        </w:rPr>
        <w:t xml:space="preserve">bis zum 31.12.2023 eingerichtet bzw. bis zum 31.12.2023 verlängert: 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1,00 SGL Sicherung des Lebensunterhalts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16,94 pAp ELB U25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26,22 pAp ELB Ü25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33,92 SB Leistungsgewährung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3,00 SB Qualifizierte Information</w:t>
      </w:r>
    </w:p>
    <w:p w:rsidR="008B321F" w:rsidRDefault="008B321F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1,00 SB IuK-Angelegenheiten</w:t>
      </w:r>
    </w:p>
    <w:p w:rsidR="008B321F" w:rsidRPr="00205083" w:rsidRDefault="008B321F" w:rsidP="00C9569B">
      <w:pPr>
        <w:autoSpaceDE w:val="0"/>
        <w:autoSpaceDN w:val="0"/>
        <w:adjustRightInd w:val="0"/>
        <w:ind w:left="709"/>
        <w:rPr>
          <w:rFonts w:cs="Arial"/>
          <w:u w:val="single"/>
        </w:rPr>
      </w:pPr>
      <w:r w:rsidRPr="00205083">
        <w:rPr>
          <w:rFonts w:cs="Arial"/>
          <w:u w:val="single"/>
        </w:rPr>
        <w:t>1,00 SB Personal und Organisation</w:t>
      </w:r>
    </w:p>
    <w:p w:rsidR="00205083" w:rsidRDefault="00205083" w:rsidP="00C9569B">
      <w:pPr>
        <w:autoSpaceDE w:val="0"/>
        <w:autoSpaceDN w:val="0"/>
        <w:adjustRightInd w:val="0"/>
        <w:ind w:left="709"/>
        <w:rPr>
          <w:rFonts w:cs="Arial"/>
        </w:rPr>
      </w:pPr>
      <w:r>
        <w:rPr>
          <w:rFonts w:cs="Arial"/>
        </w:rPr>
        <w:t>83,08</w:t>
      </w:r>
    </w:p>
    <w:p w:rsidR="008F6BAC" w:rsidRDefault="008F6BAC" w:rsidP="00615D6C">
      <w:pPr>
        <w:autoSpaceDE w:val="0"/>
        <w:autoSpaceDN w:val="0"/>
        <w:adjustRightInd w:val="0"/>
        <w:rPr>
          <w:rFonts w:cs="Arial"/>
        </w:rPr>
      </w:pPr>
    </w:p>
    <w:p w:rsidR="00E446D7" w:rsidRPr="00887768" w:rsidRDefault="00AF0E97" w:rsidP="00E51ED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Aufgrund </w:t>
      </w:r>
      <w:r w:rsidR="00887768">
        <w:rPr>
          <w:rFonts w:cs="Arial"/>
        </w:rPr>
        <w:t>der tatsächlichen Fallzahlen zum</w:t>
      </w:r>
      <w:r w:rsidR="00C933A1">
        <w:rPr>
          <w:rFonts w:cs="Arial"/>
        </w:rPr>
        <w:t xml:space="preserve"> </w:t>
      </w:r>
      <w:r w:rsidR="00887768">
        <w:rPr>
          <w:rFonts w:cs="Arial"/>
        </w:rPr>
        <w:t xml:space="preserve">30.04.2023 </w:t>
      </w:r>
      <w:r>
        <w:rPr>
          <w:rFonts w:cs="Arial"/>
        </w:rPr>
        <w:t xml:space="preserve">besteht ein Personalbedarf </w:t>
      </w:r>
      <w:r w:rsidR="00C933A1">
        <w:rPr>
          <w:rFonts w:cs="Arial"/>
        </w:rPr>
        <w:t>über den 31.12.2023 hinaus</w:t>
      </w:r>
      <w:r w:rsidR="00A0539F">
        <w:rPr>
          <w:rFonts w:cs="Arial"/>
        </w:rPr>
        <w:t xml:space="preserve">. </w:t>
      </w:r>
      <w:r w:rsidR="00A0539F" w:rsidRPr="00887768">
        <w:rPr>
          <w:rFonts w:cs="Arial"/>
        </w:rPr>
        <w:t>Dieser stellt sich wie folgt dar:</w:t>
      </w:r>
      <w:r w:rsidR="00E51ED5" w:rsidRPr="00887768">
        <w:rPr>
          <w:rFonts w:cs="Arial"/>
        </w:rPr>
        <w:t xml:space="preserve"> </w:t>
      </w:r>
    </w:p>
    <w:p w:rsidR="00222E47" w:rsidRPr="00887768" w:rsidRDefault="00222E47" w:rsidP="00E51ED5">
      <w:pPr>
        <w:autoSpaceDE w:val="0"/>
        <w:autoSpaceDN w:val="0"/>
        <w:adjustRightInd w:val="0"/>
        <w:rPr>
          <w:rFonts w:cs="Arial"/>
        </w:rPr>
      </w:pPr>
    </w:p>
    <w:p w:rsidR="00A0539F" w:rsidRPr="00887768" w:rsidRDefault="00A0539F" w:rsidP="00C9569B">
      <w:pPr>
        <w:autoSpaceDE w:val="0"/>
        <w:autoSpaceDN w:val="0"/>
        <w:adjustRightInd w:val="0"/>
        <w:ind w:left="709"/>
        <w:rPr>
          <w:rFonts w:cs="Arial"/>
        </w:rPr>
      </w:pPr>
      <w:r w:rsidRPr="00887768">
        <w:rPr>
          <w:rFonts w:cs="Arial"/>
        </w:rPr>
        <w:t>1,00 SGL Sicherung des Lebensunterhalts</w:t>
      </w:r>
    </w:p>
    <w:p w:rsidR="00A0539F" w:rsidRPr="00887768" w:rsidRDefault="00A0539F" w:rsidP="00C9569B">
      <w:pPr>
        <w:autoSpaceDE w:val="0"/>
        <w:autoSpaceDN w:val="0"/>
        <w:adjustRightInd w:val="0"/>
        <w:ind w:left="709"/>
        <w:rPr>
          <w:rFonts w:cs="Arial"/>
        </w:rPr>
      </w:pPr>
      <w:r w:rsidRPr="00887768">
        <w:rPr>
          <w:rFonts w:cs="Arial"/>
        </w:rPr>
        <w:t>11,</w:t>
      </w:r>
      <w:r w:rsidR="00887768" w:rsidRPr="00887768">
        <w:rPr>
          <w:rFonts w:cs="Arial"/>
        </w:rPr>
        <w:t>02</w:t>
      </w:r>
      <w:r w:rsidRPr="00887768">
        <w:rPr>
          <w:rFonts w:cs="Arial"/>
        </w:rPr>
        <w:t xml:space="preserve"> pAp ELB U25</w:t>
      </w:r>
    </w:p>
    <w:p w:rsidR="00A0539F" w:rsidRPr="00887768" w:rsidRDefault="00887768" w:rsidP="00C9569B">
      <w:pPr>
        <w:autoSpaceDE w:val="0"/>
        <w:autoSpaceDN w:val="0"/>
        <w:adjustRightInd w:val="0"/>
        <w:ind w:left="709"/>
        <w:rPr>
          <w:rFonts w:cs="Arial"/>
        </w:rPr>
      </w:pPr>
      <w:r w:rsidRPr="00887768">
        <w:rPr>
          <w:rFonts w:cs="Arial"/>
        </w:rPr>
        <w:t>15,03</w:t>
      </w:r>
      <w:r w:rsidR="00A0539F" w:rsidRPr="00887768">
        <w:rPr>
          <w:rFonts w:cs="Arial"/>
        </w:rPr>
        <w:t xml:space="preserve"> pAp ELB Ü25</w:t>
      </w:r>
    </w:p>
    <w:p w:rsidR="00A0539F" w:rsidRPr="00887768" w:rsidRDefault="00887768" w:rsidP="00C9569B">
      <w:pPr>
        <w:autoSpaceDE w:val="0"/>
        <w:autoSpaceDN w:val="0"/>
        <w:adjustRightInd w:val="0"/>
        <w:ind w:left="709"/>
        <w:rPr>
          <w:rFonts w:cs="Arial"/>
        </w:rPr>
      </w:pPr>
      <w:r w:rsidRPr="00887768">
        <w:rPr>
          <w:rFonts w:cs="Arial"/>
        </w:rPr>
        <w:t>15,73</w:t>
      </w:r>
      <w:r w:rsidR="00A0539F" w:rsidRPr="00887768">
        <w:rPr>
          <w:rFonts w:cs="Arial"/>
        </w:rPr>
        <w:t xml:space="preserve"> SB Leistungsgewährung</w:t>
      </w:r>
    </w:p>
    <w:p w:rsidR="00A0539F" w:rsidRPr="00887768" w:rsidRDefault="00A0539F" w:rsidP="00C9569B">
      <w:pPr>
        <w:autoSpaceDE w:val="0"/>
        <w:autoSpaceDN w:val="0"/>
        <w:adjustRightInd w:val="0"/>
        <w:ind w:left="709"/>
        <w:rPr>
          <w:rFonts w:cs="Arial"/>
        </w:rPr>
      </w:pPr>
      <w:r w:rsidRPr="00887768">
        <w:rPr>
          <w:rFonts w:cs="Arial"/>
        </w:rPr>
        <w:t>3,00 SB Qualifizierte Information</w:t>
      </w:r>
    </w:p>
    <w:p w:rsidR="00205083" w:rsidRDefault="00205083" w:rsidP="00615D6C">
      <w:pPr>
        <w:autoSpaceDE w:val="0"/>
        <w:autoSpaceDN w:val="0"/>
        <w:adjustRightInd w:val="0"/>
        <w:rPr>
          <w:rFonts w:eastAsiaTheme="minorEastAsia" w:cs="Arial"/>
        </w:rPr>
      </w:pPr>
    </w:p>
    <w:p w:rsidR="00BB381C" w:rsidRPr="00E51ED5" w:rsidRDefault="00615D6C" w:rsidP="00E51ED5">
      <w:pPr>
        <w:autoSpaceDE w:val="0"/>
        <w:autoSpaceDN w:val="0"/>
        <w:adjustRightInd w:val="0"/>
      </w:pPr>
      <w:r w:rsidRPr="007F6B8A">
        <w:rPr>
          <w:rFonts w:eastAsiaTheme="minorEastAsia" w:cs="Arial"/>
        </w:rPr>
        <w:t>Die gesamtgesellschaftlich gebotene</w:t>
      </w:r>
      <w:r>
        <w:rPr>
          <w:rFonts w:eastAsiaTheme="minorEastAsia" w:cs="Arial"/>
        </w:rPr>
        <w:t xml:space="preserve">, zielgerichtete Integration von Geflüchteten </w:t>
      </w:r>
      <w:r w:rsidRPr="007F6B8A">
        <w:rPr>
          <w:rFonts w:eastAsiaTheme="minorEastAsia" w:cs="Arial"/>
        </w:rPr>
        <w:t>beding</w:t>
      </w:r>
      <w:r>
        <w:rPr>
          <w:rFonts w:eastAsiaTheme="minorEastAsia" w:cs="Arial"/>
        </w:rPr>
        <w:t>t</w:t>
      </w:r>
      <w:r w:rsidRPr="007F6B8A">
        <w:rPr>
          <w:rFonts w:eastAsiaTheme="minorEastAsia" w:cs="Arial"/>
        </w:rPr>
        <w:t xml:space="preserve"> zwingend </w:t>
      </w:r>
      <w:r w:rsidR="00A00EA6">
        <w:rPr>
          <w:rFonts w:eastAsiaTheme="minorEastAsia" w:cs="Arial"/>
        </w:rPr>
        <w:t xml:space="preserve">weiterhin </w:t>
      </w:r>
      <w:r w:rsidRPr="007F6B8A">
        <w:rPr>
          <w:rFonts w:eastAsiaTheme="minorEastAsia" w:cs="Arial"/>
        </w:rPr>
        <w:t>die Bereitstellung von Personalressourcen</w:t>
      </w:r>
      <w:r>
        <w:rPr>
          <w:rFonts w:eastAsiaTheme="minorEastAsia" w:cs="Arial"/>
        </w:rPr>
        <w:t>.</w:t>
      </w:r>
      <w:r w:rsidRPr="00615D6C">
        <w:rPr>
          <w:rFonts w:eastAsiaTheme="minorEastAsia" w:cs="Arial"/>
        </w:rPr>
        <w:t xml:space="preserve"> Die Notwendigkeit der besonderen Betreuungs- und Unterstützungsleistungen für Geflüchtete ist unbestritten.</w:t>
      </w:r>
      <w:r w:rsidR="00A00EA6">
        <w:rPr>
          <w:rFonts w:eastAsiaTheme="minorEastAsia" w:cs="Arial"/>
        </w:rPr>
        <w:t xml:space="preserve"> </w:t>
      </w:r>
      <w:r w:rsidR="00E51ED5" w:rsidRPr="007F6B8A">
        <w:rPr>
          <w:rFonts w:cs="Arial"/>
        </w:rPr>
        <w:t>Mit de</w:t>
      </w:r>
      <w:r w:rsidR="00E51ED5">
        <w:rPr>
          <w:rFonts w:cs="Arial"/>
        </w:rPr>
        <w:t>n</w:t>
      </w:r>
      <w:r w:rsidR="00E51ED5" w:rsidRPr="007F6B8A">
        <w:rPr>
          <w:rFonts w:cs="Arial"/>
        </w:rPr>
        <w:t xml:space="preserve"> Stellenschaffung</w:t>
      </w:r>
      <w:r w:rsidR="00E51ED5">
        <w:rPr>
          <w:rFonts w:cs="Arial"/>
        </w:rPr>
        <w:t>en</w:t>
      </w:r>
      <w:r w:rsidR="00E51ED5" w:rsidRPr="007F6B8A">
        <w:rPr>
          <w:rFonts w:cs="Arial"/>
        </w:rPr>
        <w:t xml:space="preserve"> wird </w:t>
      </w:r>
      <w:r w:rsidR="00E51ED5">
        <w:rPr>
          <w:rFonts w:cs="Arial"/>
        </w:rPr>
        <w:t xml:space="preserve">weiterhin auf </w:t>
      </w:r>
      <w:r w:rsidR="00E51ED5" w:rsidRPr="007F6B8A">
        <w:rPr>
          <w:rFonts w:cs="Arial"/>
        </w:rPr>
        <w:t xml:space="preserve">den </w:t>
      </w:r>
      <w:r w:rsidR="00E51ED5">
        <w:rPr>
          <w:rFonts w:cs="Arial"/>
        </w:rPr>
        <w:t>B</w:t>
      </w:r>
      <w:r w:rsidR="00E51ED5" w:rsidRPr="007F6B8A">
        <w:rPr>
          <w:rFonts w:cs="Arial"/>
        </w:rPr>
        <w:t xml:space="preserve">edarf </w:t>
      </w:r>
      <w:r w:rsidR="00E51ED5">
        <w:rPr>
          <w:rFonts w:cs="Arial"/>
        </w:rPr>
        <w:t xml:space="preserve">aufgrund der aus der Ukraine geflüchteten Menschen </w:t>
      </w:r>
      <w:r w:rsidR="00E51ED5" w:rsidRPr="007F6B8A">
        <w:rPr>
          <w:rFonts w:cs="Arial"/>
        </w:rPr>
        <w:t>reagiert</w:t>
      </w:r>
      <w:r w:rsidR="00E51ED5">
        <w:rPr>
          <w:rFonts w:cs="Arial"/>
        </w:rPr>
        <w:t xml:space="preserve"> und den Entwicklungen im Flüchtlingsbereich Rechnung getragen.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C41955" w:rsidRDefault="009926B6" w:rsidP="00884D6C">
      <w:r>
        <w:t xml:space="preserve">Bisher </w:t>
      </w:r>
      <w:r w:rsidR="00AE7A77">
        <w:t xml:space="preserve">erfolgte die Aufgabenwahrnehmung </w:t>
      </w:r>
      <w:r w:rsidR="00BB381C">
        <w:t xml:space="preserve">über </w:t>
      </w:r>
      <w:r w:rsidR="007F5A01">
        <w:t xml:space="preserve">die folgenden </w:t>
      </w:r>
      <w:r w:rsidR="00AE7A77">
        <w:t>befristete</w:t>
      </w:r>
      <w:r w:rsidR="007F5A01">
        <w:t>n</w:t>
      </w:r>
      <w:r w:rsidR="00AE7A77">
        <w:t xml:space="preserve"> </w:t>
      </w:r>
      <w:r w:rsidR="009D2749" w:rsidRPr="003E4147">
        <w:t>Ermächtigungen</w:t>
      </w:r>
      <w:r w:rsidR="007F5A01">
        <w:t xml:space="preserve">: </w:t>
      </w:r>
    </w:p>
    <w:p w:rsidR="00C41955" w:rsidRDefault="00C41955" w:rsidP="00884D6C"/>
    <w:p w:rsidR="00C41955" w:rsidRDefault="007F5A01" w:rsidP="00884D6C">
      <w:r>
        <w:t xml:space="preserve">060 2900 740, 060 2900 </w:t>
      </w:r>
      <w:r w:rsidR="00C41955">
        <w:t>600-614</w:t>
      </w:r>
      <w:r>
        <w:t>, 060 2900 700-718</w:t>
      </w:r>
      <w:r w:rsidR="00C41955">
        <w:t xml:space="preserve">, 060 2900 720-738, </w:t>
      </w:r>
    </w:p>
    <w:p w:rsidR="00BB381C" w:rsidRDefault="00C41955" w:rsidP="00884D6C">
      <w:r>
        <w:t>060 2900 644-646</w:t>
      </w:r>
    </w:p>
    <w:p w:rsidR="00BB381C" w:rsidRDefault="00BB381C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975C5" w:rsidRDefault="008975C5" w:rsidP="00FA587D">
      <w:pPr>
        <w:autoSpaceDE w:val="0"/>
        <w:autoSpaceDN w:val="0"/>
        <w:adjustRightInd w:val="0"/>
      </w:pPr>
    </w:p>
    <w:p w:rsidR="00FA587D" w:rsidRPr="003E4147" w:rsidRDefault="00AE7A77" w:rsidP="00FA58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Die </w:t>
      </w:r>
      <w:r w:rsidR="00422769">
        <w:rPr>
          <w:rFonts w:cs="Arial"/>
        </w:rPr>
        <w:t xml:space="preserve">gesetzliche Aufgabenerledigung </w:t>
      </w:r>
      <w:r>
        <w:rPr>
          <w:rFonts w:cs="Arial"/>
        </w:rPr>
        <w:t xml:space="preserve">im Zusammenhang mit den aus der Ukraine geflüchteten Personen </w:t>
      </w:r>
      <w:r w:rsidR="00422769">
        <w:rPr>
          <w:rFonts w:cs="Arial"/>
        </w:rPr>
        <w:t xml:space="preserve">kann nicht </w:t>
      </w:r>
      <w:r w:rsidR="00C933A1">
        <w:rPr>
          <w:rFonts w:cs="Arial"/>
        </w:rPr>
        <w:t>wahrgenommen</w:t>
      </w:r>
      <w:r w:rsidR="00422769">
        <w:rPr>
          <w:rFonts w:cs="Arial"/>
        </w:rPr>
        <w:t xml:space="preserve"> bzw. sichergestellt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E51ED5" w:rsidRDefault="00E51ED5" w:rsidP="00884D6C">
      <w:r>
        <w:t xml:space="preserve"> -</w:t>
      </w:r>
    </w:p>
    <w:sectPr w:rsidR="00E51ED5" w:rsidSect="00E51ED5">
      <w:headerReference w:type="default" r:id="rId7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80" w:rsidRDefault="002C2B80">
      <w:r>
        <w:separator/>
      </w:r>
    </w:p>
  </w:endnote>
  <w:endnote w:type="continuationSeparator" w:id="0">
    <w:p w:rsidR="002C2B80" w:rsidRDefault="002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80" w:rsidRDefault="002C2B80">
      <w:r>
        <w:separator/>
      </w:r>
    </w:p>
  </w:footnote>
  <w:footnote w:type="continuationSeparator" w:id="0">
    <w:p w:rsidR="002C2B80" w:rsidRDefault="002C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713B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09308E9"/>
    <w:multiLevelType w:val="hybridMultilevel"/>
    <w:tmpl w:val="182E1B6C"/>
    <w:lvl w:ilvl="0" w:tplc="484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4B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2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5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2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B7"/>
    <w:rsid w:val="00026253"/>
    <w:rsid w:val="00055758"/>
    <w:rsid w:val="00061F0B"/>
    <w:rsid w:val="00094847"/>
    <w:rsid w:val="000A1146"/>
    <w:rsid w:val="000C0A1F"/>
    <w:rsid w:val="000F0C24"/>
    <w:rsid w:val="001034AF"/>
    <w:rsid w:val="0011112B"/>
    <w:rsid w:val="00126FEB"/>
    <w:rsid w:val="0014415D"/>
    <w:rsid w:val="00151488"/>
    <w:rsid w:val="00163034"/>
    <w:rsid w:val="00164678"/>
    <w:rsid w:val="00165C0D"/>
    <w:rsid w:val="001713B2"/>
    <w:rsid w:val="00181857"/>
    <w:rsid w:val="00184EDC"/>
    <w:rsid w:val="00194770"/>
    <w:rsid w:val="001A5F9B"/>
    <w:rsid w:val="001F7237"/>
    <w:rsid w:val="00205083"/>
    <w:rsid w:val="00222E47"/>
    <w:rsid w:val="00250288"/>
    <w:rsid w:val="00266882"/>
    <w:rsid w:val="002924CB"/>
    <w:rsid w:val="00295D58"/>
    <w:rsid w:val="002A20D1"/>
    <w:rsid w:val="002A4DE3"/>
    <w:rsid w:val="002B5955"/>
    <w:rsid w:val="002C2B80"/>
    <w:rsid w:val="002F165C"/>
    <w:rsid w:val="00302DCF"/>
    <w:rsid w:val="0030686C"/>
    <w:rsid w:val="0031301A"/>
    <w:rsid w:val="00327BCA"/>
    <w:rsid w:val="00380937"/>
    <w:rsid w:val="00397717"/>
    <w:rsid w:val="003B3024"/>
    <w:rsid w:val="003D47D7"/>
    <w:rsid w:val="003D7B0B"/>
    <w:rsid w:val="003E0F4B"/>
    <w:rsid w:val="003E4147"/>
    <w:rsid w:val="003F0FAA"/>
    <w:rsid w:val="004135B7"/>
    <w:rsid w:val="00422769"/>
    <w:rsid w:val="00434AA0"/>
    <w:rsid w:val="00436874"/>
    <w:rsid w:val="00447566"/>
    <w:rsid w:val="00470135"/>
    <w:rsid w:val="0047606A"/>
    <w:rsid w:val="004908B5"/>
    <w:rsid w:val="0049121B"/>
    <w:rsid w:val="004A1688"/>
    <w:rsid w:val="004B6796"/>
    <w:rsid w:val="004D0F5B"/>
    <w:rsid w:val="00521C04"/>
    <w:rsid w:val="005272BC"/>
    <w:rsid w:val="00585694"/>
    <w:rsid w:val="005A0A9D"/>
    <w:rsid w:val="005A56AA"/>
    <w:rsid w:val="005E19C6"/>
    <w:rsid w:val="005E5AB9"/>
    <w:rsid w:val="005F5B3D"/>
    <w:rsid w:val="00606F80"/>
    <w:rsid w:val="00615D6C"/>
    <w:rsid w:val="00622CC7"/>
    <w:rsid w:val="006468C7"/>
    <w:rsid w:val="00656DD4"/>
    <w:rsid w:val="006A406B"/>
    <w:rsid w:val="006B6D50"/>
    <w:rsid w:val="006E0575"/>
    <w:rsid w:val="00711309"/>
    <w:rsid w:val="00722289"/>
    <w:rsid w:val="0072799A"/>
    <w:rsid w:val="00754659"/>
    <w:rsid w:val="0076298E"/>
    <w:rsid w:val="007B5DF1"/>
    <w:rsid w:val="007E3B79"/>
    <w:rsid w:val="007F5A01"/>
    <w:rsid w:val="008066EE"/>
    <w:rsid w:val="00817BB6"/>
    <w:rsid w:val="00820C30"/>
    <w:rsid w:val="0084059E"/>
    <w:rsid w:val="00855701"/>
    <w:rsid w:val="00884D6C"/>
    <w:rsid w:val="00887768"/>
    <w:rsid w:val="008975C5"/>
    <w:rsid w:val="008B321F"/>
    <w:rsid w:val="008C7CF1"/>
    <w:rsid w:val="008D5278"/>
    <w:rsid w:val="008F3B16"/>
    <w:rsid w:val="008F6BAC"/>
    <w:rsid w:val="00920F00"/>
    <w:rsid w:val="00922CE4"/>
    <w:rsid w:val="009373F6"/>
    <w:rsid w:val="00946276"/>
    <w:rsid w:val="0096038F"/>
    <w:rsid w:val="0097582E"/>
    <w:rsid w:val="00976588"/>
    <w:rsid w:val="009926B6"/>
    <w:rsid w:val="009D2749"/>
    <w:rsid w:val="009F2D66"/>
    <w:rsid w:val="009F5AE6"/>
    <w:rsid w:val="00A00EA6"/>
    <w:rsid w:val="00A0539F"/>
    <w:rsid w:val="00A27CA7"/>
    <w:rsid w:val="00A355EA"/>
    <w:rsid w:val="00A45B30"/>
    <w:rsid w:val="00A6417E"/>
    <w:rsid w:val="00A71D0A"/>
    <w:rsid w:val="00A77F1E"/>
    <w:rsid w:val="00A847C4"/>
    <w:rsid w:val="00AB389D"/>
    <w:rsid w:val="00AE23E8"/>
    <w:rsid w:val="00AE7A77"/>
    <w:rsid w:val="00AE7B02"/>
    <w:rsid w:val="00AF0DEA"/>
    <w:rsid w:val="00AF0E97"/>
    <w:rsid w:val="00AF25E0"/>
    <w:rsid w:val="00B04290"/>
    <w:rsid w:val="00B80DEF"/>
    <w:rsid w:val="00B86BB5"/>
    <w:rsid w:val="00B91903"/>
    <w:rsid w:val="00B970C8"/>
    <w:rsid w:val="00B97651"/>
    <w:rsid w:val="00BB381C"/>
    <w:rsid w:val="00BC4669"/>
    <w:rsid w:val="00C16EF1"/>
    <w:rsid w:val="00C41955"/>
    <w:rsid w:val="00C448D3"/>
    <w:rsid w:val="00C80B79"/>
    <w:rsid w:val="00C84553"/>
    <w:rsid w:val="00C933A1"/>
    <w:rsid w:val="00C9569B"/>
    <w:rsid w:val="00CF62E5"/>
    <w:rsid w:val="00D006E5"/>
    <w:rsid w:val="00D25466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446D7"/>
    <w:rsid w:val="00E51ED5"/>
    <w:rsid w:val="00E6534B"/>
    <w:rsid w:val="00E7118F"/>
    <w:rsid w:val="00EE72F0"/>
    <w:rsid w:val="00F16B57"/>
    <w:rsid w:val="00F27657"/>
    <w:rsid w:val="00F342DC"/>
    <w:rsid w:val="00F44D68"/>
    <w:rsid w:val="00F56F93"/>
    <w:rsid w:val="00F63016"/>
    <w:rsid w:val="00F63041"/>
    <w:rsid w:val="00F76452"/>
    <w:rsid w:val="00FA587D"/>
    <w:rsid w:val="00FB7EB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EABA"/>
  <w15:docId w15:val="{8E37BBEF-CB1A-4460-9FB5-E5887F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126F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1379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Kerqota, Rineta</dc:creator>
  <cp:lastModifiedBy>Baumann, Gerhard</cp:lastModifiedBy>
  <cp:revision>9</cp:revision>
  <cp:lastPrinted>2023-10-30T09:13:00Z</cp:lastPrinted>
  <dcterms:created xsi:type="dcterms:W3CDTF">2023-09-15T09:32:00Z</dcterms:created>
  <dcterms:modified xsi:type="dcterms:W3CDTF">2023-10-30T09:13:00Z</dcterms:modified>
</cp:coreProperties>
</file>