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517A6">
        <w:rPr>
          <w:szCs w:val="24"/>
        </w:rPr>
        <w:t>13</w:t>
      </w:r>
      <w:r w:rsidRPr="006E0575">
        <w:rPr>
          <w:szCs w:val="24"/>
        </w:rPr>
        <w:t xml:space="preserve"> zur GRDrs </w:t>
      </w:r>
      <w:r w:rsidR="00E517A6">
        <w:rPr>
          <w:szCs w:val="24"/>
        </w:rPr>
        <w:t>885</w:t>
      </w:r>
      <w:r w:rsidR="00891246">
        <w:rPr>
          <w:szCs w:val="24"/>
        </w:rPr>
        <w:t>/201</w:t>
      </w:r>
      <w:r w:rsidR="003F602B">
        <w:rPr>
          <w:szCs w:val="24"/>
        </w:rPr>
        <w:t>9</w:t>
      </w:r>
    </w:p>
    <w:p w:rsidR="003D7B0B" w:rsidRPr="006E0575" w:rsidRDefault="003D7B0B" w:rsidP="006E0575"/>
    <w:p w:rsidR="00694161" w:rsidRDefault="00694161" w:rsidP="00694161"/>
    <w:p w:rsidR="00940F75" w:rsidRPr="00940F75" w:rsidRDefault="00940F75" w:rsidP="00940F75">
      <w:pPr>
        <w:jc w:val="center"/>
        <w:outlineLvl w:val="0"/>
        <w:rPr>
          <w:b/>
          <w:sz w:val="36"/>
          <w:szCs w:val="24"/>
          <w:u w:val="single"/>
        </w:rPr>
      </w:pPr>
      <w:r w:rsidRPr="00940F75">
        <w:rPr>
          <w:b/>
          <w:sz w:val="36"/>
          <w:szCs w:val="24"/>
          <w:u w:val="single"/>
        </w:rPr>
        <w:t>Verlän</w:t>
      </w:r>
      <w:r w:rsidRPr="00940F75">
        <w:rPr>
          <w:b/>
          <w:sz w:val="36"/>
          <w:szCs w:val="24"/>
        </w:rPr>
        <w:t>g</w:t>
      </w:r>
      <w:r w:rsidRPr="00940F75">
        <w:rPr>
          <w:b/>
          <w:sz w:val="36"/>
          <w:szCs w:val="24"/>
          <w:u w:val="single"/>
        </w:rPr>
        <w:t>erun</w:t>
      </w:r>
      <w:r w:rsidRPr="00940F75">
        <w:rPr>
          <w:b/>
          <w:sz w:val="36"/>
          <w:szCs w:val="24"/>
        </w:rPr>
        <w:t>g</w:t>
      </w:r>
      <w:r w:rsidRPr="00940F75">
        <w:rPr>
          <w:b/>
          <w:sz w:val="36"/>
          <w:szCs w:val="24"/>
          <w:u w:val="single"/>
        </w:rPr>
        <w:t xml:space="preserve"> eines Stellenvermerks </w:t>
      </w:r>
      <w:r w:rsidRPr="00940F75">
        <w:rPr>
          <w:b/>
          <w:sz w:val="36"/>
          <w:szCs w:val="24"/>
          <w:u w:val="single"/>
        </w:rPr>
        <w:br/>
        <w:t>zum Stellenplan 202</w:t>
      </w:r>
      <w:r>
        <w:rPr>
          <w:b/>
          <w:sz w:val="36"/>
          <w:szCs w:val="24"/>
          <w:u w:val="single"/>
        </w:rPr>
        <w:t>0</w:t>
      </w:r>
    </w:p>
    <w:p w:rsidR="00940F75" w:rsidRDefault="00940F75" w:rsidP="00940F75">
      <w:pPr>
        <w:rPr>
          <w:szCs w:val="24"/>
        </w:rPr>
      </w:pPr>
    </w:p>
    <w:p w:rsidR="00940F75" w:rsidRPr="00940F75" w:rsidRDefault="00940F75" w:rsidP="00940F75">
      <w:pPr>
        <w:rPr>
          <w:szCs w:val="24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40F75" w:rsidRPr="00940F75" w:rsidTr="00940F75">
        <w:trPr>
          <w:tblHeader/>
        </w:trPr>
        <w:tc>
          <w:tcPr>
            <w:tcW w:w="1814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Stellennummer,</w:t>
            </w:r>
          </w:p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BesGr.</w:t>
            </w:r>
          </w:p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oder</w:t>
            </w:r>
          </w:p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Funktions-</w:t>
            </w:r>
            <w:r w:rsidRPr="00940F75">
              <w:rPr>
                <w:sz w:val="16"/>
                <w:szCs w:val="16"/>
              </w:rPr>
              <w:br/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Anzahl</w:t>
            </w:r>
            <w:r w:rsidRPr="00940F75">
              <w:rPr>
                <w:sz w:val="16"/>
                <w:szCs w:val="16"/>
              </w:rPr>
              <w:br/>
              <w:t>der</w:t>
            </w:r>
            <w:r w:rsidRPr="00940F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Stellen-</w:t>
            </w:r>
            <w:r w:rsidRPr="00940F75">
              <w:rPr>
                <w:sz w:val="16"/>
                <w:szCs w:val="16"/>
              </w:rPr>
              <w:br/>
              <w:t>vermerk</w:t>
            </w:r>
          </w:p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bisher</w:t>
            </w:r>
          </w:p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940F75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940F75" w:rsidRPr="00940F75" w:rsidRDefault="00940F75" w:rsidP="00940F7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40F75">
              <w:rPr>
                <w:sz w:val="16"/>
                <w:szCs w:val="16"/>
              </w:rPr>
              <w:t>durchschnittl.</w:t>
            </w:r>
            <w:r w:rsidRPr="00940F75">
              <w:rPr>
                <w:sz w:val="16"/>
                <w:szCs w:val="16"/>
              </w:rPr>
              <w:br/>
              <w:t>jährl. kosten-</w:t>
            </w:r>
            <w:r w:rsidRPr="00940F75">
              <w:rPr>
                <w:sz w:val="16"/>
                <w:szCs w:val="16"/>
              </w:rPr>
              <w:br/>
              <w:t>wirksamer</w:t>
            </w:r>
            <w:r w:rsidRPr="00940F75">
              <w:rPr>
                <w:sz w:val="16"/>
                <w:szCs w:val="16"/>
              </w:rPr>
              <w:br/>
              <w:t>Aufwand</w:t>
            </w:r>
            <w:r w:rsidRPr="00940F75">
              <w:rPr>
                <w:sz w:val="16"/>
                <w:szCs w:val="16"/>
              </w:rPr>
              <w:br/>
              <w:t>in Euro</w:t>
            </w:r>
          </w:p>
        </w:tc>
      </w:tr>
      <w:tr w:rsidR="00940F75" w:rsidRPr="00940F75" w:rsidTr="00940F75">
        <w:tc>
          <w:tcPr>
            <w:tcW w:w="1814" w:type="dxa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>230 3033 080</w:t>
            </w:r>
          </w:p>
          <w:p w:rsidR="00940F75" w:rsidRDefault="00940F75" w:rsidP="00940F75">
            <w:pPr>
              <w:rPr>
                <w:sz w:val="20"/>
              </w:rPr>
            </w:pPr>
          </w:p>
          <w:p w:rsidR="00940F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>23306030</w:t>
            </w:r>
          </w:p>
          <w:p w:rsidR="00940F75" w:rsidRPr="006E0575" w:rsidRDefault="00940F75" w:rsidP="00940F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40F75" w:rsidRDefault="00940F75" w:rsidP="00940F75">
            <w:pPr>
              <w:jc w:val="both"/>
              <w:rPr>
                <w:sz w:val="20"/>
              </w:rPr>
            </w:pPr>
          </w:p>
          <w:p w:rsidR="00940F75" w:rsidRPr="006E05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Pr="006E05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  <w:shd w:val="clear" w:color="auto" w:fill="auto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Pr="006E05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clear" w:color="auto" w:fill="auto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Pr="006E0575" w:rsidRDefault="00940F75" w:rsidP="00940F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78E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Default="00940F75" w:rsidP="00FD7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</w:t>
            </w:r>
            <w:r w:rsidR="00F73A89">
              <w:rPr>
                <w:sz w:val="20"/>
              </w:rPr>
              <w:t>22</w:t>
            </w:r>
          </w:p>
          <w:p w:rsidR="00940F75" w:rsidRDefault="00940F75" w:rsidP="00FD7A1A">
            <w:pPr>
              <w:jc w:val="center"/>
              <w:rPr>
                <w:sz w:val="20"/>
              </w:rPr>
            </w:pPr>
          </w:p>
          <w:p w:rsidR="00940F75" w:rsidRPr="00940F75" w:rsidRDefault="00940F75" w:rsidP="00FD7A1A">
            <w:pPr>
              <w:jc w:val="center"/>
              <w:rPr>
                <w:b/>
                <w:sz w:val="20"/>
              </w:rPr>
            </w:pPr>
            <w:r w:rsidRPr="00940F75">
              <w:rPr>
                <w:b/>
                <w:sz w:val="20"/>
              </w:rPr>
              <w:t>KW 01/2024</w:t>
            </w:r>
          </w:p>
        </w:tc>
        <w:tc>
          <w:tcPr>
            <w:tcW w:w="1417" w:type="dxa"/>
          </w:tcPr>
          <w:p w:rsidR="00940F75" w:rsidRDefault="00940F75" w:rsidP="00940F75">
            <w:pPr>
              <w:rPr>
                <w:sz w:val="20"/>
              </w:rPr>
            </w:pPr>
          </w:p>
          <w:p w:rsidR="00940F75" w:rsidRPr="006E0575" w:rsidRDefault="00E517A6" w:rsidP="00940F75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940F75" w:rsidRPr="00940F75" w:rsidRDefault="00940F75" w:rsidP="00940F75">
      <w:pPr>
        <w:rPr>
          <w:szCs w:val="24"/>
        </w:rPr>
      </w:pPr>
    </w:p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F74A64" w:rsidRDefault="00F74A64" w:rsidP="00F74A64">
      <w:r>
        <w:t>Zum Stellenplan 2012 (GRDrs 769/2011, Anlage 3) wurde diese Planstelle befristet geschaffen zur Zusammenfassung und anschließenden Ausschreibung von Wartungsverträgen. Mit der Stellenschaffung wurde der Haushaltsansatz für Wartungen um 75.000 € pro Jahr reduziert. Beim letzten Stellenplanverfahren wurde der KW-Vermerk um weitere 2 Jahre verlängert.</w:t>
      </w:r>
    </w:p>
    <w:p w:rsidR="00F74A64" w:rsidRDefault="00F74A64" w:rsidP="00F74A64"/>
    <w:p w:rsidR="00F74A64" w:rsidRDefault="00F74A64" w:rsidP="00F74A64">
      <w:pPr>
        <w:rPr>
          <w:rFonts w:cs="Arial"/>
          <w:color w:val="000000"/>
        </w:rPr>
      </w:pPr>
      <w:r>
        <w:t>Das Aufgabengebiet umfasst insbesondere:</w:t>
      </w:r>
      <w:r>
        <w:br/>
      </w:r>
    </w:p>
    <w:p w:rsidR="00F74A64" w:rsidRDefault="00F74A64" w:rsidP="00F74A64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Bedarfsfeststellung und Vergabe sämtlicher Wartungsverträge von technischen </w:t>
      </w:r>
      <w:r>
        <w:rPr>
          <w:rFonts w:cs="Arial"/>
          <w:color w:val="000000"/>
        </w:rPr>
        <w:br/>
        <w:t>Anlagen</w:t>
      </w:r>
    </w:p>
    <w:p w:rsidR="00F74A64" w:rsidRDefault="00F74A64" w:rsidP="00F74A64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Fachliche Überprüfung der Ausschreibungsunterlagen und sämtlicher Leistungsverzeichnisse, Hinterlegung von Formeln und Plausibilitätsprüfung, Fertigstellung der Ausschreibungsunterlagen, Durchführung von Objektbegehungen mit Firmen, Prüfen und Auswerten der eingegangenen Angebote, Abfrage der Referenzen, Zus</w:t>
      </w:r>
      <w:r w:rsidR="009D5252">
        <w:rPr>
          <w:rFonts w:cs="Arial"/>
          <w:color w:val="000000"/>
        </w:rPr>
        <w:t>chlagsfindung, Dokumentation</w:t>
      </w:r>
      <w:r>
        <w:rPr>
          <w:rFonts w:cs="Arial"/>
          <w:color w:val="000000"/>
        </w:rPr>
        <w:t>/Vergabeniederschrift, Absagebriefe, Zuschlagsmitteilung.</w:t>
      </w:r>
    </w:p>
    <w:p w:rsidR="00F74A64" w:rsidRDefault="00F74A64" w:rsidP="00F74A64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Verwaltung der abgeschlossenen Verträge</w:t>
      </w:r>
    </w:p>
    <w:p w:rsidR="00F74A64" w:rsidRDefault="00F74A64" w:rsidP="00F74A64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360"/>
      </w:pPr>
      <w:r>
        <w:rPr>
          <w:rFonts w:cs="Arial"/>
          <w:color w:val="000000"/>
        </w:rPr>
        <w:t>Qualitäts- und Reklamationsmanagement</w:t>
      </w:r>
    </w:p>
    <w:p w:rsidR="00F74A64" w:rsidRDefault="00F74A64" w:rsidP="00F74A64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360"/>
      </w:pPr>
      <w:r>
        <w:rPr>
          <w:rFonts w:cs="Arial"/>
          <w:color w:val="000000"/>
        </w:rPr>
        <w:t>Rechnungsbearbeitung</w:t>
      </w:r>
    </w:p>
    <w:p w:rsidR="00F74A64" w:rsidRDefault="00F74A64" w:rsidP="00F74A64">
      <w:pPr>
        <w:rPr>
          <w:rFonts w:cs="Arial"/>
        </w:rPr>
      </w:pPr>
    </w:p>
    <w:p w:rsidR="00BE3F21" w:rsidRDefault="00F74A64" w:rsidP="00BE3F21">
      <w:r>
        <w:rPr>
          <w:rFonts w:cs="Arial"/>
        </w:rPr>
        <w:t xml:space="preserve">Bisher </w:t>
      </w:r>
      <w:r w:rsidR="00A76EE9">
        <w:rPr>
          <w:rFonts w:cs="Arial"/>
        </w:rPr>
        <w:t>wurde</w:t>
      </w:r>
      <w:r>
        <w:rPr>
          <w:rFonts w:cs="Arial"/>
        </w:rPr>
        <w:t xml:space="preserve"> </w:t>
      </w:r>
      <w:r w:rsidR="0063619E">
        <w:rPr>
          <w:rFonts w:cs="Arial"/>
        </w:rPr>
        <w:t>nur</w:t>
      </w:r>
      <w:r w:rsidR="00D0402A">
        <w:rPr>
          <w:rFonts w:cs="Arial"/>
        </w:rPr>
        <w:t xml:space="preserve"> knapp über ein</w:t>
      </w:r>
      <w:r w:rsidR="0063619E">
        <w:rPr>
          <w:rFonts w:cs="Arial"/>
        </w:rPr>
        <w:t xml:space="preserve"> Drittel </w:t>
      </w:r>
      <w:r>
        <w:rPr>
          <w:rFonts w:cs="Arial"/>
        </w:rPr>
        <w:t xml:space="preserve">der insgesamt </w:t>
      </w:r>
      <w:r w:rsidR="0063619E">
        <w:rPr>
          <w:rFonts w:cs="Arial"/>
        </w:rPr>
        <w:t>4</w:t>
      </w:r>
      <w:r w:rsidR="009D5252">
        <w:rPr>
          <w:rFonts w:cs="Arial"/>
        </w:rPr>
        <w:t>.</w:t>
      </w:r>
      <w:r w:rsidR="0063619E">
        <w:rPr>
          <w:rFonts w:cs="Arial"/>
        </w:rPr>
        <w:t>515</w:t>
      </w:r>
      <w:r>
        <w:rPr>
          <w:rFonts w:cs="Arial"/>
        </w:rPr>
        <w:t xml:space="preserve"> bestehenden Verträge geprüft und neu ausgeschrieben.</w:t>
      </w:r>
      <w:r w:rsidR="00BE3F21">
        <w:rPr>
          <w:rFonts w:cs="Arial"/>
        </w:rPr>
        <w:t xml:space="preserve"> </w:t>
      </w:r>
      <w:r w:rsidR="00BE3F21">
        <w:t>Neben der Kostenersparnis bei der Vergabe der Aufzugswartungen (Einsparung jährlich 78.827,62 €/brutto) konnte zu Jahresbeginn 2015 bei der Wartung von Brandmeldeanlagen durch entsprechende Bündelung ein Einsparvolumen von rd. 15.000 €/butto im Jahr erzielt werden.</w:t>
      </w:r>
    </w:p>
    <w:p w:rsidR="00833F83" w:rsidRDefault="00833F83" w:rsidP="00BE3F21"/>
    <w:p w:rsidR="003D7B0B" w:rsidRDefault="00940F75" w:rsidP="00694161">
      <w:r>
        <w:rPr>
          <w:noProof/>
          <w:szCs w:val="22"/>
        </w:rPr>
        <w:t>D</w:t>
      </w:r>
      <w:r w:rsidR="00833F83">
        <w:rPr>
          <w:noProof/>
          <w:szCs w:val="22"/>
        </w:rPr>
        <w:t xml:space="preserve">ie bestehende Stelle </w:t>
      </w:r>
      <w:r>
        <w:rPr>
          <w:noProof/>
          <w:szCs w:val="22"/>
        </w:rPr>
        <w:t xml:space="preserve">wird weiterhin </w:t>
      </w:r>
      <w:r w:rsidR="00E517A6">
        <w:rPr>
          <w:noProof/>
          <w:szCs w:val="22"/>
        </w:rPr>
        <w:t>benötigt</w:t>
      </w:r>
      <w:bookmarkStart w:id="0" w:name="_GoBack"/>
      <w:bookmarkEnd w:id="0"/>
      <w:r w:rsidR="00833F83">
        <w:rPr>
          <w:noProof/>
          <w:szCs w:val="22"/>
        </w:rPr>
        <w:t>. Ansonsten können weder die  bestehenden</w:t>
      </w:r>
      <w:r w:rsidR="00833F83">
        <w:t xml:space="preserve"> Wartungsverträge verwaltet noch weitere neu abgeschlossen werden.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64" w:rsidRDefault="00F74A64">
      <w:r>
        <w:separator/>
      </w:r>
    </w:p>
  </w:endnote>
  <w:endnote w:type="continuationSeparator" w:id="0">
    <w:p w:rsidR="00F74A64" w:rsidRDefault="00F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64" w:rsidRDefault="00F74A64">
      <w:r>
        <w:separator/>
      </w:r>
    </w:p>
  </w:footnote>
  <w:footnote w:type="continuationSeparator" w:id="0">
    <w:p w:rsidR="00F74A64" w:rsidRDefault="00F7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64" w:rsidRDefault="00F74A6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35CA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35CA7">
      <w:rPr>
        <w:rStyle w:val="Seitenzahl"/>
      </w:rPr>
      <w:fldChar w:fldCharType="separate"/>
    </w:r>
    <w:r w:rsidR="00940F75">
      <w:rPr>
        <w:rStyle w:val="Seitenzahl"/>
        <w:noProof/>
      </w:rPr>
      <w:t>2</w:t>
    </w:r>
    <w:r w:rsidR="00135CA7">
      <w:rPr>
        <w:rStyle w:val="Seitenzahl"/>
      </w:rPr>
      <w:fldChar w:fldCharType="end"/>
    </w:r>
    <w:r>
      <w:rPr>
        <w:rStyle w:val="Seitenzahl"/>
      </w:rPr>
      <w:t xml:space="preserve"> -</w:t>
    </w:r>
  </w:p>
  <w:p w:rsidR="00F74A64" w:rsidRDefault="00F74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76B67E3"/>
    <w:multiLevelType w:val="hybridMultilevel"/>
    <w:tmpl w:val="8E107E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C1508"/>
    <w:rsid w:val="000D2E9F"/>
    <w:rsid w:val="001058DD"/>
    <w:rsid w:val="00135CA7"/>
    <w:rsid w:val="00165C0D"/>
    <w:rsid w:val="00181857"/>
    <w:rsid w:val="001F5D9F"/>
    <w:rsid w:val="002058C2"/>
    <w:rsid w:val="00213C7A"/>
    <w:rsid w:val="002812E4"/>
    <w:rsid w:val="002924CB"/>
    <w:rsid w:val="002B5370"/>
    <w:rsid w:val="002B6783"/>
    <w:rsid w:val="002C2BCF"/>
    <w:rsid w:val="003237BB"/>
    <w:rsid w:val="003878EE"/>
    <w:rsid w:val="003D5196"/>
    <w:rsid w:val="003D7B0B"/>
    <w:rsid w:val="003F602B"/>
    <w:rsid w:val="00453F67"/>
    <w:rsid w:val="00476C00"/>
    <w:rsid w:val="004920E9"/>
    <w:rsid w:val="004B6796"/>
    <w:rsid w:val="004D7F89"/>
    <w:rsid w:val="005E7511"/>
    <w:rsid w:val="005E7A74"/>
    <w:rsid w:val="0063619E"/>
    <w:rsid w:val="006931FB"/>
    <w:rsid w:val="00694161"/>
    <w:rsid w:val="006E0575"/>
    <w:rsid w:val="00734497"/>
    <w:rsid w:val="00746A71"/>
    <w:rsid w:val="00767369"/>
    <w:rsid w:val="007B5FE2"/>
    <w:rsid w:val="007D10DD"/>
    <w:rsid w:val="0083052F"/>
    <w:rsid w:val="00833F83"/>
    <w:rsid w:val="00884D6C"/>
    <w:rsid w:val="00891246"/>
    <w:rsid w:val="00893E55"/>
    <w:rsid w:val="00940F75"/>
    <w:rsid w:val="009B0FBE"/>
    <w:rsid w:val="009D5252"/>
    <w:rsid w:val="00A34898"/>
    <w:rsid w:val="00A76EE9"/>
    <w:rsid w:val="00A77F1E"/>
    <w:rsid w:val="00AB3B5F"/>
    <w:rsid w:val="00AB765E"/>
    <w:rsid w:val="00B04290"/>
    <w:rsid w:val="00B238D8"/>
    <w:rsid w:val="00B27F54"/>
    <w:rsid w:val="00B42B93"/>
    <w:rsid w:val="00B503DD"/>
    <w:rsid w:val="00B76A76"/>
    <w:rsid w:val="00B80DEF"/>
    <w:rsid w:val="00BA1878"/>
    <w:rsid w:val="00BE3F21"/>
    <w:rsid w:val="00C32458"/>
    <w:rsid w:val="00C42332"/>
    <w:rsid w:val="00C448D3"/>
    <w:rsid w:val="00CD0B27"/>
    <w:rsid w:val="00CD201B"/>
    <w:rsid w:val="00D0402A"/>
    <w:rsid w:val="00D24277"/>
    <w:rsid w:val="00DA24CD"/>
    <w:rsid w:val="00DA701E"/>
    <w:rsid w:val="00DE32BA"/>
    <w:rsid w:val="00DF268B"/>
    <w:rsid w:val="00DF3470"/>
    <w:rsid w:val="00E1162F"/>
    <w:rsid w:val="00E11D5F"/>
    <w:rsid w:val="00E517A6"/>
    <w:rsid w:val="00F00C79"/>
    <w:rsid w:val="00F132FA"/>
    <w:rsid w:val="00F27657"/>
    <w:rsid w:val="00F27BB8"/>
    <w:rsid w:val="00F73A89"/>
    <w:rsid w:val="00F74A64"/>
    <w:rsid w:val="00F823AB"/>
    <w:rsid w:val="00F97D37"/>
    <w:rsid w:val="00FD7A1A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DC5D"/>
  <w15:docId w15:val="{017E3542-4B0F-4DB9-BEA7-CB8B6BE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6931F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31F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931FB"/>
    <w:rPr>
      <w:sz w:val="16"/>
    </w:rPr>
  </w:style>
  <w:style w:type="paragraph" w:styleId="Kommentartext">
    <w:name w:val="annotation text"/>
    <w:basedOn w:val="Standard"/>
    <w:semiHidden/>
    <w:rsid w:val="006931FB"/>
    <w:rPr>
      <w:sz w:val="20"/>
    </w:rPr>
  </w:style>
  <w:style w:type="paragraph" w:styleId="Fuzeile">
    <w:name w:val="footer"/>
    <w:basedOn w:val="Standard"/>
    <w:rsid w:val="006931F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931F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A9AB-0D9B-47AA-81CF-7860147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CE9750C2.dotm</Template>
  <TotalTime>0</TotalTime>
  <Pages>1</Pages>
  <Words>213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Hauser, Petra</cp:lastModifiedBy>
  <cp:revision>8</cp:revision>
  <cp:lastPrinted>2019-09-19T09:26:00Z</cp:lastPrinted>
  <dcterms:created xsi:type="dcterms:W3CDTF">2019-01-16T13:49:00Z</dcterms:created>
  <dcterms:modified xsi:type="dcterms:W3CDTF">2019-09-19T09:26:00Z</dcterms:modified>
</cp:coreProperties>
</file>