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C794C">
        <w:rPr>
          <w:szCs w:val="24"/>
        </w:rPr>
        <w:t>6</w:t>
      </w:r>
      <w:r w:rsidRPr="006E0575">
        <w:rPr>
          <w:szCs w:val="24"/>
        </w:rPr>
        <w:t xml:space="preserve"> zur GRDrs </w:t>
      </w:r>
      <w:r w:rsidR="00CC794C">
        <w:rPr>
          <w:szCs w:val="24"/>
        </w:rPr>
        <w:t>833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CC794C" w:rsidRDefault="00CC794C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5B2B33" w:rsidP="006E0575">
            <w:pPr>
              <w:rPr>
                <w:sz w:val="20"/>
              </w:rPr>
            </w:pPr>
            <w:r>
              <w:rPr>
                <w:sz w:val="20"/>
              </w:rPr>
              <w:t>500 0201</w:t>
            </w:r>
          </w:p>
          <w:p w:rsidR="00D01A55" w:rsidRDefault="00D01A55" w:rsidP="006E0575">
            <w:pPr>
              <w:rPr>
                <w:sz w:val="20"/>
              </w:rPr>
            </w:pPr>
          </w:p>
          <w:p w:rsidR="0011112B" w:rsidRDefault="0019118F" w:rsidP="006E0575">
            <w:pPr>
              <w:rPr>
                <w:sz w:val="20"/>
              </w:rPr>
            </w:pPr>
            <w:r>
              <w:rPr>
                <w:sz w:val="20"/>
              </w:rPr>
              <w:t>50201201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5B2B33" w:rsidP="006E0575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B2B33" w:rsidRPr="006E0575" w:rsidRDefault="005B2B33" w:rsidP="008A685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B2B33" w:rsidRPr="006E0575" w:rsidRDefault="005B2B33" w:rsidP="005B2B33">
            <w:pPr>
              <w:rPr>
                <w:sz w:val="20"/>
              </w:rPr>
            </w:pPr>
            <w:r>
              <w:rPr>
                <w:sz w:val="20"/>
              </w:rPr>
              <w:t>Sachbearbeiter/in in der Fachberatung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B2B33" w:rsidRPr="006E0575" w:rsidRDefault="0054663D" w:rsidP="008A6853">
            <w:pPr>
              <w:rPr>
                <w:sz w:val="20"/>
              </w:rPr>
            </w:pPr>
            <w:r w:rsidRPr="002E3052">
              <w:rPr>
                <w:sz w:val="20"/>
              </w:rPr>
              <w:t>0,7</w:t>
            </w:r>
            <w:r w:rsidR="005B2B33" w:rsidRPr="002E3052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CC794C" w:rsidP="008A6853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90189A">
              <w:rPr>
                <w:sz w:val="20"/>
              </w:rPr>
              <w:t xml:space="preserve"> 01/2020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CC794C" w:rsidP="00CC79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63.630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5B2B33" w:rsidP="00884D6C">
      <w:r>
        <w:t xml:space="preserve">Beantragt wird die Schaffung von </w:t>
      </w:r>
      <w:r w:rsidR="0090189A">
        <w:t>0</w:t>
      </w:r>
      <w:r w:rsidR="002E3052" w:rsidRPr="004329B2">
        <w:t>,70</w:t>
      </w:r>
      <w:r>
        <w:t xml:space="preserve"> Stellen bei der Abteilung Sozialleistungen im Sachgebiet Recht und Qualitätssicherung (50-201), das </w:t>
      </w:r>
      <w:r w:rsidR="0019118F">
        <w:t xml:space="preserve">bei </w:t>
      </w:r>
      <w:r w:rsidR="00F76EBA">
        <w:t xml:space="preserve">den </w:t>
      </w:r>
      <w:r w:rsidR="003A4DB0">
        <w:t>Bezirksämtern</w:t>
      </w:r>
      <w:r w:rsidR="0019118F">
        <w:t xml:space="preserve"> und </w:t>
      </w:r>
      <w:r w:rsidR="003A4DB0">
        <w:t>dem Sozialamt</w:t>
      </w:r>
      <w:r w:rsidR="0019118F">
        <w:t xml:space="preserve"> </w:t>
      </w:r>
      <w:r>
        <w:t xml:space="preserve">für die Klärung von Grundsatzfragen im Sozialhilferecht, Widerspruchs- und Klageverfahren zuständig ist und für alle </w:t>
      </w:r>
      <w:r w:rsidR="00D00F6B" w:rsidRPr="000A10A6">
        <w:t>2</w:t>
      </w:r>
      <w:r w:rsidR="000A10A6" w:rsidRPr="000A10A6">
        <w:t>6</w:t>
      </w:r>
      <w:r w:rsidR="00D00F6B" w:rsidRPr="000A10A6">
        <w:t xml:space="preserve"> </w:t>
      </w:r>
      <w:r>
        <w:t>Sozialhilfedienststellen Fachberatung</w:t>
      </w:r>
      <w:r w:rsidR="0041485A">
        <w:t xml:space="preserve"> leistet.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41485A" w:rsidP="00884D6C">
      <w:r>
        <w:t xml:space="preserve">Es handelt sich um eine </w:t>
      </w:r>
      <w:r w:rsidR="00453474">
        <w:t>nicht un</w:t>
      </w:r>
      <w:r>
        <w:t>erhebliche Arbeitsvermehrung</w:t>
      </w:r>
      <w:r w:rsidR="0090189A">
        <w:t xml:space="preserve"> durch gestiegene Fallzahlen und Personalzuwachs</w:t>
      </w:r>
      <w:r w:rsidR="003A4DB0">
        <w:t xml:space="preserve"> in den Sozialhilfedienststellen</w:t>
      </w:r>
      <w:r>
        <w:t xml:space="preserve">, die </w:t>
      </w:r>
      <w:r w:rsidR="00A405DC">
        <w:t xml:space="preserve">u.a. </w:t>
      </w:r>
      <w:r>
        <w:t xml:space="preserve">über die letzten </w:t>
      </w:r>
      <w:r w:rsidR="0090189A">
        <w:t>b</w:t>
      </w:r>
      <w:r>
        <w:t xml:space="preserve">eiden Jahre eingetreten ist und durch andere Maßnahmen nicht aufgefangen werden kann.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76270" w:rsidRPr="00076270" w:rsidRDefault="00076270" w:rsidP="00076270"/>
    <w:p w:rsidR="00292AF1" w:rsidRDefault="00292AF1" w:rsidP="00292AF1">
      <w:pPr>
        <w:rPr>
          <w:noProof/>
          <w:szCs w:val="22"/>
        </w:rPr>
      </w:pPr>
      <w:r>
        <w:t xml:space="preserve">Im Projekt Stellenbemessungsverfahren, das im Jahr 2009 beendet worden ist, wurde die Stellenausstattung für 50-201 mit untersucht und die adäquate </w:t>
      </w:r>
      <w:r w:rsidR="00F76EBA">
        <w:t>Stellena</w:t>
      </w:r>
      <w:r>
        <w:t xml:space="preserve">usstattung bestätigt. </w:t>
      </w:r>
      <w:r>
        <w:rPr>
          <w:noProof/>
          <w:szCs w:val="22"/>
        </w:rPr>
        <w:t>Die zwischenzeitlich erfolgte qualitative und quantitative Entwicklung im gesamten Leistungsbereich (</w:t>
      </w:r>
      <w:r w:rsidR="003A4DB0">
        <w:rPr>
          <w:noProof/>
          <w:szCs w:val="22"/>
        </w:rPr>
        <w:t>Bezirksämter und Sozialamt</w:t>
      </w:r>
      <w:r>
        <w:rPr>
          <w:noProof/>
          <w:szCs w:val="22"/>
        </w:rPr>
        <w:t xml:space="preserve">) wurde im Sachgebiet Recht und Qualitätssicherung seit </w:t>
      </w:r>
      <w:r w:rsidRPr="000A10A6">
        <w:rPr>
          <w:noProof/>
          <w:szCs w:val="22"/>
        </w:rPr>
        <w:t xml:space="preserve">damals </w:t>
      </w:r>
      <w:r>
        <w:rPr>
          <w:noProof/>
          <w:szCs w:val="22"/>
        </w:rPr>
        <w:t>ressourcen</w:t>
      </w:r>
      <w:r w:rsidRPr="000A10A6">
        <w:rPr>
          <w:noProof/>
          <w:szCs w:val="22"/>
        </w:rPr>
        <w:t xml:space="preserve">technisch </w:t>
      </w:r>
      <w:r>
        <w:rPr>
          <w:noProof/>
          <w:szCs w:val="22"/>
        </w:rPr>
        <w:t xml:space="preserve">aber </w:t>
      </w:r>
      <w:r w:rsidRPr="000A10A6">
        <w:rPr>
          <w:noProof/>
          <w:szCs w:val="22"/>
        </w:rPr>
        <w:t xml:space="preserve">nicht nachvollzogen. </w:t>
      </w:r>
    </w:p>
    <w:p w:rsidR="00292AF1" w:rsidRDefault="00292AF1" w:rsidP="0041485A"/>
    <w:p w:rsidR="00A405DC" w:rsidRDefault="00122615" w:rsidP="0041485A">
      <w:r>
        <w:t xml:space="preserve">Der </w:t>
      </w:r>
      <w:r w:rsidR="0041485A">
        <w:t xml:space="preserve">Aufgabenzuwachs </w:t>
      </w:r>
      <w:r w:rsidR="00FF748E">
        <w:t>bei 50-201 lässt</w:t>
      </w:r>
      <w:r w:rsidR="0041485A">
        <w:t xml:space="preserve"> sich </w:t>
      </w:r>
      <w:r w:rsidR="00292AF1">
        <w:t xml:space="preserve">seit 2009 </w:t>
      </w:r>
      <w:r w:rsidR="0041485A">
        <w:t>auf der Grundlage de</w:t>
      </w:r>
      <w:r w:rsidR="00A405DC">
        <w:t>r Indikatoren Fallzahlensteigerung und Personalzuwach</w:t>
      </w:r>
      <w:r w:rsidR="0041485A">
        <w:t xml:space="preserve">s </w:t>
      </w:r>
      <w:r w:rsidR="00A405DC">
        <w:t>in der Sozialhilfesachbearbeitung</w:t>
      </w:r>
      <w:r w:rsidR="00FF748E">
        <w:t xml:space="preserve"> darstellen</w:t>
      </w:r>
      <w:r w:rsidR="00A405DC">
        <w:t>:</w:t>
      </w:r>
    </w:p>
    <w:p w:rsidR="00A405DC" w:rsidRDefault="00A405DC" w:rsidP="0041485A"/>
    <w:tbl>
      <w:tblPr>
        <w:tblStyle w:val="TabelleKlassisch1"/>
        <w:tblW w:w="0" w:type="auto"/>
        <w:tblLook w:val="04A0" w:firstRow="1" w:lastRow="0" w:firstColumn="1" w:lastColumn="0" w:noHBand="0" w:noVBand="1"/>
      </w:tblPr>
      <w:tblGrid>
        <w:gridCol w:w="3165"/>
        <w:gridCol w:w="2897"/>
        <w:gridCol w:w="3433"/>
      </w:tblGrid>
      <w:tr w:rsidR="00FF748E" w:rsidRPr="00A56CBD" w:rsidTr="00A56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A56CBD" w:rsidP="0041485A">
            <w:pPr>
              <w:rPr>
                <w:b/>
              </w:rPr>
            </w:pPr>
            <w:r w:rsidRPr="00A56CBD">
              <w:rPr>
                <w:b/>
              </w:rPr>
              <w:t>Fallzahlensteigerung</w:t>
            </w:r>
          </w:p>
        </w:tc>
        <w:tc>
          <w:tcPr>
            <w:tcW w:w="2897" w:type="dxa"/>
          </w:tcPr>
          <w:p w:rsidR="00FF748E" w:rsidRPr="00A56CBD" w:rsidRDefault="00A56CBD" w:rsidP="00414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6CBD">
              <w:rPr>
                <w:b/>
              </w:rPr>
              <w:t>Stichtag</w:t>
            </w:r>
          </w:p>
        </w:tc>
        <w:tc>
          <w:tcPr>
            <w:tcW w:w="3433" w:type="dxa"/>
          </w:tcPr>
          <w:p w:rsidR="00FF748E" w:rsidRPr="00A56CBD" w:rsidRDefault="00A56CBD" w:rsidP="00414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6CBD">
              <w:rPr>
                <w:b/>
              </w:rPr>
              <w:t>Fallzahlen (Basisdaten)</w:t>
            </w:r>
          </w:p>
        </w:tc>
      </w:tr>
      <w:tr w:rsidR="00FF748E" w:rsidRPr="00A56CBD" w:rsidTr="00A5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FF748E" w:rsidP="0041485A"/>
        </w:tc>
        <w:tc>
          <w:tcPr>
            <w:tcW w:w="2897" w:type="dxa"/>
          </w:tcPr>
          <w:p w:rsidR="00FF748E" w:rsidRPr="00A56CBD" w:rsidRDefault="00A56CBD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Dezember 2009</w:t>
            </w:r>
          </w:p>
        </w:tc>
        <w:tc>
          <w:tcPr>
            <w:tcW w:w="3433" w:type="dxa"/>
          </w:tcPr>
          <w:p w:rsidR="00FF748E" w:rsidRPr="00A56CBD" w:rsidRDefault="00A56CBD" w:rsidP="00076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13738 Fälle</w:t>
            </w:r>
          </w:p>
        </w:tc>
      </w:tr>
      <w:tr w:rsidR="00FF748E" w:rsidRPr="00A56CBD" w:rsidTr="00A5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FF748E" w:rsidP="0041485A"/>
        </w:tc>
        <w:tc>
          <w:tcPr>
            <w:tcW w:w="2897" w:type="dxa"/>
          </w:tcPr>
          <w:p w:rsidR="00FF748E" w:rsidRPr="006E22BF" w:rsidRDefault="00581F21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BF">
              <w:t xml:space="preserve">Dezember </w:t>
            </w:r>
            <w:r w:rsidR="00A56CBD" w:rsidRPr="006E22BF">
              <w:t>2016</w:t>
            </w:r>
          </w:p>
        </w:tc>
        <w:tc>
          <w:tcPr>
            <w:tcW w:w="3433" w:type="dxa"/>
          </w:tcPr>
          <w:p w:rsidR="00FF748E" w:rsidRPr="006E22BF" w:rsidRDefault="00A56CBD" w:rsidP="0058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2BF">
              <w:t>19</w:t>
            </w:r>
            <w:r w:rsidR="00581F21" w:rsidRPr="006E22BF">
              <w:t xml:space="preserve">014 </w:t>
            </w:r>
            <w:r w:rsidRPr="006E22BF">
              <w:t>Fälle</w:t>
            </w:r>
          </w:p>
        </w:tc>
      </w:tr>
      <w:tr w:rsidR="00FF748E" w:rsidRPr="00A56CBD" w:rsidTr="00A5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A56CBD" w:rsidP="0041485A">
            <w:pPr>
              <w:rPr>
                <w:b/>
              </w:rPr>
            </w:pPr>
            <w:r w:rsidRPr="00A56CBD">
              <w:rPr>
                <w:b/>
              </w:rPr>
              <w:lastRenderedPageBreak/>
              <w:t>Zuwachs</w:t>
            </w:r>
          </w:p>
        </w:tc>
        <w:tc>
          <w:tcPr>
            <w:tcW w:w="2897" w:type="dxa"/>
          </w:tcPr>
          <w:p w:rsidR="00FF748E" w:rsidRPr="006E22BF" w:rsidRDefault="00FF748E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33" w:type="dxa"/>
          </w:tcPr>
          <w:p w:rsidR="00FF748E" w:rsidRPr="006E22BF" w:rsidRDefault="00076270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22BF">
              <w:rPr>
                <w:b/>
              </w:rPr>
              <w:t xml:space="preserve"> </w:t>
            </w:r>
            <w:r w:rsidR="00581F21" w:rsidRPr="006E22BF">
              <w:rPr>
                <w:b/>
              </w:rPr>
              <w:t xml:space="preserve">5276 </w:t>
            </w:r>
            <w:r w:rsidR="00A56CBD" w:rsidRPr="006E22BF">
              <w:rPr>
                <w:b/>
              </w:rPr>
              <w:t>Fälle</w:t>
            </w:r>
            <w:r w:rsidRPr="006E22BF">
              <w:rPr>
                <w:b/>
              </w:rPr>
              <w:t xml:space="preserve"> (+</w:t>
            </w:r>
            <w:r w:rsidR="00E747EA">
              <w:rPr>
                <w:b/>
              </w:rPr>
              <w:t>38</w:t>
            </w:r>
            <w:r w:rsidR="00581F21" w:rsidRPr="006E22BF">
              <w:rPr>
                <w:b/>
              </w:rPr>
              <w:t xml:space="preserve"> </w:t>
            </w:r>
            <w:r w:rsidRPr="006E22BF">
              <w:rPr>
                <w:b/>
              </w:rPr>
              <w:t>%)</w:t>
            </w:r>
          </w:p>
        </w:tc>
      </w:tr>
    </w:tbl>
    <w:p w:rsidR="00FF748E" w:rsidRDefault="00FF748E" w:rsidP="0041485A"/>
    <w:tbl>
      <w:tblPr>
        <w:tblStyle w:val="TabelleKlassisch1"/>
        <w:tblW w:w="0" w:type="auto"/>
        <w:tblLook w:val="04A0" w:firstRow="1" w:lastRow="0" w:firstColumn="1" w:lastColumn="0" w:noHBand="0" w:noVBand="1"/>
      </w:tblPr>
      <w:tblGrid>
        <w:gridCol w:w="3165"/>
        <w:gridCol w:w="2897"/>
        <w:gridCol w:w="3433"/>
      </w:tblGrid>
      <w:tr w:rsidR="00FF748E" w:rsidRPr="00A56CBD" w:rsidTr="00A56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1D64DA" w:rsidP="001D64DA">
            <w:pPr>
              <w:rPr>
                <w:b/>
              </w:rPr>
            </w:pPr>
            <w:r>
              <w:rPr>
                <w:b/>
              </w:rPr>
              <w:t>SB-S</w:t>
            </w:r>
            <w:r w:rsidR="00A56CBD" w:rsidRPr="00A56CBD">
              <w:rPr>
                <w:b/>
              </w:rPr>
              <w:t>tellen</w:t>
            </w:r>
          </w:p>
        </w:tc>
        <w:tc>
          <w:tcPr>
            <w:tcW w:w="2897" w:type="dxa"/>
          </w:tcPr>
          <w:p w:rsidR="00FF748E" w:rsidRPr="00A56CBD" w:rsidRDefault="00A56CBD" w:rsidP="00414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6CBD">
              <w:rPr>
                <w:b/>
              </w:rPr>
              <w:t>Stichtag</w:t>
            </w:r>
          </w:p>
        </w:tc>
        <w:tc>
          <w:tcPr>
            <w:tcW w:w="3433" w:type="dxa"/>
          </w:tcPr>
          <w:p w:rsidR="00FF748E" w:rsidRPr="00A56CBD" w:rsidRDefault="00A56CBD" w:rsidP="00414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6CBD">
              <w:rPr>
                <w:b/>
              </w:rPr>
              <w:t>Stellensoll (15 und 50)</w:t>
            </w:r>
          </w:p>
        </w:tc>
      </w:tr>
      <w:tr w:rsidR="00FF748E" w:rsidRPr="00A56CBD" w:rsidTr="00A5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FF748E" w:rsidP="0041485A"/>
        </w:tc>
        <w:tc>
          <w:tcPr>
            <w:tcW w:w="2897" w:type="dxa"/>
          </w:tcPr>
          <w:p w:rsidR="00FF748E" w:rsidRPr="00A56CBD" w:rsidRDefault="00A56CBD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 2010</w:t>
            </w:r>
          </w:p>
        </w:tc>
        <w:tc>
          <w:tcPr>
            <w:tcW w:w="3433" w:type="dxa"/>
          </w:tcPr>
          <w:p w:rsidR="00FF748E" w:rsidRPr="00A56CBD" w:rsidRDefault="00A56CBD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117,88 Stellen</w:t>
            </w:r>
          </w:p>
        </w:tc>
      </w:tr>
      <w:tr w:rsidR="00FF748E" w:rsidRPr="00A56CBD" w:rsidTr="00A5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FF748E" w:rsidP="0041485A"/>
        </w:tc>
        <w:tc>
          <w:tcPr>
            <w:tcW w:w="2897" w:type="dxa"/>
          </w:tcPr>
          <w:p w:rsidR="00FF748E" w:rsidRPr="00A56CBD" w:rsidRDefault="00A56CBD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2016</w:t>
            </w:r>
          </w:p>
        </w:tc>
        <w:tc>
          <w:tcPr>
            <w:tcW w:w="3433" w:type="dxa"/>
          </w:tcPr>
          <w:p w:rsidR="00FF748E" w:rsidRPr="00A56CBD" w:rsidRDefault="00A56CBD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182,45 Stellen</w:t>
            </w:r>
          </w:p>
        </w:tc>
      </w:tr>
      <w:tr w:rsidR="00FF748E" w:rsidRPr="00A56CBD" w:rsidTr="00A5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</w:tcPr>
          <w:p w:rsidR="00FF748E" w:rsidRPr="00A56CBD" w:rsidRDefault="00A56CBD" w:rsidP="0041485A">
            <w:pPr>
              <w:rPr>
                <w:b/>
              </w:rPr>
            </w:pPr>
            <w:r w:rsidRPr="00A56CBD">
              <w:rPr>
                <w:b/>
              </w:rPr>
              <w:t xml:space="preserve">Zuwachs </w:t>
            </w:r>
          </w:p>
        </w:tc>
        <w:tc>
          <w:tcPr>
            <w:tcW w:w="2897" w:type="dxa"/>
          </w:tcPr>
          <w:p w:rsidR="00FF748E" w:rsidRPr="00A56CBD" w:rsidRDefault="00FF748E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33" w:type="dxa"/>
          </w:tcPr>
          <w:p w:rsidR="00FF748E" w:rsidRPr="00A56CBD" w:rsidRDefault="00076270" w:rsidP="00414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="00A56CBD" w:rsidRPr="00A56CBD">
              <w:rPr>
                <w:b/>
              </w:rPr>
              <w:t>64,57 Stellen</w:t>
            </w:r>
            <w:r>
              <w:rPr>
                <w:b/>
              </w:rPr>
              <w:t xml:space="preserve"> (</w:t>
            </w:r>
            <w:r w:rsidR="00E747EA">
              <w:rPr>
                <w:b/>
              </w:rPr>
              <w:t>+55</w:t>
            </w:r>
            <w:r w:rsidRPr="00A56CBD">
              <w:rPr>
                <w:b/>
              </w:rPr>
              <w:t xml:space="preserve"> %</w:t>
            </w:r>
            <w:r>
              <w:rPr>
                <w:b/>
              </w:rPr>
              <w:t>)</w:t>
            </w:r>
          </w:p>
        </w:tc>
      </w:tr>
    </w:tbl>
    <w:p w:rsidR="00FF748E" w:rsidRDefault="00FF748E" w:rsidP="0041485A"/>
    <w:p w:rsidR="00FD51AD" w:rsidRDefault="00FD51AD" w:rsidP="00884D6C"/>
    <w:p w:rsidR="00FD51AD" w:rsidRPr="00292AF1" w:rsidRDefault="00FD51AD" w:rsidP="00FD51AD">
      <w:r w:rsidRPr="00292AF1">
        <w:t xml:space="preserve">Zu beobachten ist auch, dass </w:t>
      </w:r>
      <w:r w:rsidR="00F76EBA">
        <w:t xml:space="preserve">nicht nur die Anzahl, sondern auch </w:t>
      </w:r>
      <w:r w:rsidRPr="00292AF1">
        <w:t>der Schwierigkeitsgrad bei Anfragen, Widersprüchen und Klagen in allen Bereichen gestiegen ist. Anwälte werden früher hinzugezogen; Rückforderungen bzw. Unterhaltsforderungen werden selten klaglos akzeptiert. Dadurch ist die Bearbeitungsintensität und Bearbeitungsdauer pro Fall bei 50-201 gestiegen.</w:t>
      </w:r>
    </w:p>
    <w:p w:rsidR="00292AF1" w:rsidRDefault="00292AF1" w:rsidP="00292AF1"/>
    <w:p w:rsidR="00FD51AD" w:rsidRPr="00F76EBA" w:rsidRDefault="00FD51AD" w:rsidP="00FD51AD">
      <w:r w:rsidRPr="00F76EBA">
        <w:t xml:space="preserve">Darüber hinaus gab und gibt es wegen </w:t>
      </w:r>
      <w:r w:rsidR="00C06BAF" w:rsidRPr="00F76EBA">
        <w:t>verschiedener</w:t>
      </w:r>
      <w:r w:rsidRPr="00F76EBA">
        <w:t xml:space="preserve"> </w:t>
      </w:r>
      <w:r w:rsidR="00C06BAF" w:rsidRPr="00F76EBA">
        <w:t>rechtlicher</w:t>
      </w:r>
      <w:r w:rsidRPr="00F76EBA">
        <w:t xml:space="preserve"> Veränderungen</w:t>
      </w:r>
      <w:r w:rsidR="00C06BAF" w:rsidRPr="00F76EBA">
        <w:t xml:space="preserve"> in den Bereichen Eingliederungshilfe, Leistungen nach dem AsylbLG, Grundsicherung/Hilfe zum Lebensunterhalt, Kranken- und Pflegeversicherung sowie Unterhalt und Nachrang </w:t>
      </w:r>
      <w:r w:rsidRPr="00F76EBA">
        <w:t xml:space="preserve">bzw. </w:t>
      </w:r>
      <w:r w:rsidR="00675C4C" w:rsidRPr="00F76EBA">
        <w:t>der</w:t>
      </w:r>
      <w:r w:rsidR="00675C4C" w:rsidRPr="00F76EBA">
        <w:rPr>
          <w:color w:val="FF0000"/>
        </w:rPr>
        <w:t xml:space="preserve"> </w:t>
      </w:r>
      <w:r w:rsidRPr="00F76EBA">
        <w:t>sozialpolitisch beschlossenen Ausrichtung der Sozialhil</w:t>
      </w:r>
      <w:r w:rsidR="00C06BAF" w:rsidRPr="00F76EBA">
        <w:t>fe erhöhten Fachberatungsbedarf.</w:t>
      </w:r>
    </w:p>
    <w:p w:rsidR="00FD51AD" w:rsidRDefault="00FD51AD" w:rsidP="00FD51AD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537934" w:rsidP="00884D6C">
      <w:r>
        <w:t>Die Aufgaben der Grundsatzklärung und der Fachberatung in Einze</w:t>
      </w:r>
      <w:r w:rsidR="00E379D7">
        <w:t>lfällen wird von 10 Mitarbeiter/</w:t>
      </w:r>
      <w:r w:rsidR="00E747EA">
        <w:t>-</w:t>
      </w:r>
      <w:r w:rsidR="00E379D7">
        <w:t>i</w:t>
      </w:r>
      <w:r>
        <w:t>nnen</w:t>
      </w:r>
      <w:r w:rsidR="00E379D7">
        <w:t xml:space="preserve"> auf 8,5</w:t>
      </w:r>
      <w:r w:rsidR="00076270">
        <w:t>0</w:t>
      </w:r>
      <w:r w:rsidR="00E379D7">
        <w:t xml:space="preserve"> Stellenanteilen wahrgenommen. Eine 0,3</w:t>
      </w:r>
      <w:r w:rsidR="00076270">
        <w:t>0</w:t>
      </w:r>
      <w:r w:rsidR="00E379D7">
        <w:t xml:space="preserve"> Stelle ist vor</w:t>
      </w:r>
      <w:r w:rsidR="00822A7F">
        <w:softHyphen/>
      </w:r>
      <w:r w:rsidR="00E379D7">
        <w:t xml:space="preserve">übergehend </w:t>
      </w:r>
      <w:r w:rsidR="005D4330">
        <w:t xml:space="preserve">aus dem Stellenbestand der allgemeinen Sozialhilfe des Sozialamts </w:t>
      </w:r>
      <w:r w:rsidR="00E379D7">
        <w:t xml:space="preserve">für das Thema Vorrang der häuslichen Kinderkrankenpflege </w:t>
      </w:r>
      <w:r w:rsidR="00675C4C">
        <w:t xml:space="preserve">intern </w:t>
      </w:r>
      <w:r w:rsidR="00E379D7">
        <w:t>zugeordnet worden.</w:t>
      </w:r>
      <w:r w:rsidR="00076270">
        <w:t xml:space="preserve"> </w:t>
      </w:r>
    </w:p>
    <w:p w:rsidR="00076270" w:rsidRDefault="00076270" w:rsidP="00884D6C"/>
    <w:p w:rsidR="00675C4C" w:rsidRDefault="00E379D7" w:rsidP="00E379D7">
      <w:r>
        <w:t xml:space="preserve">Wegen der Personal- und Fallzahlenentwicklung, der viel komplexeren und länger dauernden Bearbeitung sowie der hinzugekommenen rechtlichen und sozialpolitischen Veränderungen benötigt 50-201 </w:t>
      </w:r>
      <w:r w:rsidR="005D4330">
        <w:t>zusätzliche</w:t>
      </w:r>
      <w:r w:rsidR="00F81ACF">
        <w:t xml:space="preserve"> </w:t>
      </w:r>
      <w:r w:rsidR="00C06BAF">
        <w:t>0</w:t>
      </w:r>
      <w:r>
        <w:t>,</w:t>
      </w:r>
      <w:r w:rsidR="00F81ACF">
        <w:t>7</w:t>
      </w:r>
      <w:r w:rsidR="00076270">
        <w:t>0</w:t>
      </w:r>
      <w:r w:rsidR="005D4330">
        <w:t xml:space="preserve"> Stellen</w:t>
      </w:r>
      <w:r w:rsidR="00F81ACF">
        <w:t xml:space="preserve"> </w:t>
      </w:r>
      <w:r>
        <w:t>ab 2018.</w:t>
      </w:r>
      <w:r w:rsidR="00D01A55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E379D7" w:rsidRDefault="00E379D7" w:rsidP="00E379D7">
      <w:pPr>
        <w:rPr>
          <w:noProof/>
          <w:szCs w:val="22"/>
        </w:rPr>
      </w:pPr>
      <w:r>
        <w:rPr>
          <w:noProof/>
          <w:szCs w:val="22"/>
        </w:rPr>
        <w:t>Weiter steigende Verzögerungen in der Fachberatung, bei der Beantwortung von Anfragen, bei der Umsetzung interner Fortbildungsangebote und der Widerspruchs-bearbeitung mit der Folge, dass es zu weiteren Arbeitsrückständen bei 50-201 kommt, die rechtswidrige Entscheidungen in der Sachbearbeitung, aber auch nicht unerhebliche finanzielle Einbußen bei der Durchsetzung des Nachrangs nach sich ziehen werden.</w:t>
      </w:r>
    </w:p>
    <w:p w:rsidR="00E379D7" w:rsidRDefault="00E379D7" w:rsidP="00E379D7">
      <w:pPr>
        <w:rPr>
          <w:noProof/>
          <w:szCs w:val="22"/>
        </w:rPr>
      </w:pPr>
    </w:p>
    <w:p w:rsidR="00E379D7" w:rsidRDefault="00E379D7" w:rsidP="00E379D7">
      <w:r>
        <w:rPr>
          <w:noProof/>
          <w:szCs w:val="22"/>
        </w:rPr>
        <w:t>Es ist zu befürchten, dass der qualitativ hohe Bearbeitungsstandard der Sachbearbeitung im gesamten Leistungsbereich (</w:t>
      </w:r>
      <w:r w:rsidR="003A4DB0">
        <w:rPr>
          <w:noProof/>
          <w:szCs w:val="22"/>
        </w:rPr>
        <w:t>Bezirksämter und Sozialamt</w:t>
      </w:r>
      <w:r>
        <w:rPr>
          <w:noProof/>
          <w:szCs w:val="22"/>
        </w:rPr>
        <w:t>) nicht gehalten werden kann, wenn die für alle Dienststellen so wichtige Unterstützerfunktion von 50-201 nicht gestärkt wird.</w:t>
      </w:r>
      <w:r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F76EBA" w:rsidRDefault="00F76EBA" w:rsidP="00884D6C"/>
    <w:p w:rsidR="006E0575" w:rsidRDefault="003A4DB0" w:rsidP="00884D6C">
      <w:r>
        <w:t>KW</w:t>
      </w:r>
      <w:bookmarkStart w:id="0" w:name="_GoBack"/>
      <w:bookmarkEnd w:id="0"/>
      <w:r w:rsidR="00F76EBA">
        <w:t xml:space="preserve"> 01/2020</w:t>
      </w:r>
    </w:p>
    <w:p w:rsidR="00493364" w:rsidRDefault="00493364" w:rsidP="00884D6C"/>
    <w:sectPr w:rsidR="0049336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6B" w:rsidRDefault="00D00F6B">
      <w:r>
        <w:separator/>
      </w:r>
    </w:p>
  </w:endnote>
  <w:endnote w:type="continuationSeparator" w:id="0">
    <w:p w:rsidR="00D00F6B" w:rsidRDefault="00D0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6B" w:rsidRDefault="00D00F6B">
      <w:r>
        <w:separator/>
      </w:r>
    </w:p>
  </w:footnote>
  <w:footnote w:type="continuationSeparator" w:id="0">
    <w:p w:rsidR="00D00F6B" w:rsidRDefault="00D0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6B" w:rsidRDefault="00D00F6B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70C3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70C3C">
      <w:rPr>
        <w:rStyle w:val="Seitenzahl"/>
      </w:rPr>
      <w:fldChar w:fldCharType="separate"/>
    </w:r>
    <w:r w:rsidR="005A2BA9">
      <w:rPr>
        <w:rStyle w:val="Seitenzahl"/>
        <w:noProof/>
      </w:rPr>
      <w:t>2</w:t>
    </w:r>
    <w:r w:rsidR="00B70C3C">
      <w:rPr>
        <w:rStyle w:val="Seitenzahl"/>
      </w:rPr>
      <w:fldChar w:fldCharType="end"/>
    </w:r>
    <w:r>
      <w:rPr>
        <w:rStyle w:val="Seitenzahl"/>
      </w:rPr>
      <w:t xml:space="preserve"> -</w:t>
    </w:r>
  </w:p>
  <w:p w:rsidR="00D00F6B" w:rsidRDefault="00D00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E90A1C"/>
    <w:multiLevelType w:val="hybridMultilevel"/>
    <w:tmpl w:val="04C65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31578D6"/>
    <w:multiLevelType w:val="hybridMultilevel"/>
    <w:tmpl w:val="DA7C6B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824F3"/>
    <w:multiLevelType w:val="hybridMultilevel"/>
    <w:tmpl w:val="A502B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9DC4034"/>
    <w:multiLevelType w:val="multilevel"/>
    <w:tmpl w:val="ABEAC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DEF"/>
    <w:rsid w:val="00023273"/>
    <w:rsid w:val="00074B0B"/>
    <w:rsid w:val="00076270"/>
    <w:rsid w:val="000A10A6"/>
    <w:rsid w:val="000A1146"/>
    <w:rsid w:val="0011112B"/>
    <w:rsid w:val="00122615"/>
    <w:rsid w:val="0014298F"/>
    <w:rsid w:val="0014415D"/>
    <w:rsid w:val="00163034"/>
    <w:rsid w:val="00165C0D"/>
    <w:rsid w:val="00181857"/>
    <w:rsid w:val="00184EDC"/>
    <w:rsid w:val="0019118F"/>
    <w:rsid w:val="00194770"/>
    <w:rsid w:val="001A5F9B"/>
    <w:rsid w:val="001D64DA"/>
    <w:rsid w:val="001F1082"/>
    <w:rsid w:val="001F7237"/>
    <w:rsid w:val="00212050"/>
    <w:rsid w:val="00214934"/>
    <w:rsid w:val="00233C04"/>
    <w:rsid w:val="002779E3"/>
    <w:rsid w:val="002924CB"/>
    <w:rsid w:val="00292AF1"/>
    <w:rsid w:val="002A20D1"/>
    <w:rsid w:val="002B5955"/>
    <w:rsid w:val="002D3779"/>
    <w:rsid w:val="002E3052"/>
    <w:rsid w:val="002F16EE"/>
    <w:rsid w:val="002F3434"/>
    <w:rsid w:val="003006FF"/>
    <w:rsid w:val="00305D35"/>
    <w:rsid w:val="00341F1E"/>
    <w:rsid w:val="003750C4"/>
    <w:rsid w:val="00380937"/>
    <w:rsid w:val="00392403"/>
    <w:rsid w:val="003A4DB0"/>
    <w:rsid w:val="003A503A"/>
    <w:rsid w:val="003C3FB1"/>
    <w:rsid w:val="003C4B08"/>
    <w:rsid w:val="003D7B0B"/>
    <w:rsid w:val="0041485A"/>
    <w:rsid w:val="004329B2"/>
    <w:rsid w:val="00453474"/>
    <w:rsid w:val="00467E5B"/>
    <w:rsid w:val="00470135"/>
    <w:rsid w:val="00472B12"/>
    <w:rsid w:val="004730E0"/>
    <w:rsid w:val="0047606A"/>
    <w:rsid w:val="004908B5"/>
    <w:rsid w:val="0049121B"/>
    <w:rsid w:val="00493364"/>
    <w:rsid w:val="004A1688"/>
    <w:rsid w:val="004B6796"/>
    <w:rsid w:val="0053629D"/>
    <w:rsid w:val="00537934"/>
    <w:rsid w:val="0054663D"/>
    <w:rsid w:val="005571E7"/>
    <w:rsid w:val="00571410"/>
    <w:rsid w:val="00581F21"/>
    <w:rsid w:val="005A0A9D"/>
    <w:rsid w:val="005A2BA9"/>
    <w:rsid w:val="005A56AA"/>
    <w:rsid w:val="005B2B33"/>
    <w:rsid w:val="005B6AB6"/>
    <w:rsid w:val="005C7A41"/>
    <w:rsid w:val="005D4330"/>
    <w:rsid w:val="005E19C6"/>
    <w:rsid w:val="005F320B"/>
    <w:rsid w:val="005F4A8B"/>
    <w:rsid w:val="005F5B3D"/>
    <w:rsid w:val="00606F80"/>
    <w:rsid w:val="0065727B"/>
    <w:rsid w:val="00675C4C"/>
    <w:rsid w:val="006A7700"/>
    <w:rsid w:val="006B1B48"/>
    <w:rsid w:val="006B6D50"/>
    <w:rsid w:val="006E0575"/>
    <w:rsid w:val="006E22BF"/>
    <w:rsid w:val="007348A8"/>
    <w:rsid w:val="00744104"/>
    <w:rsid w:val="00754659"/>
    <w:rsid w:val="007A29E4"/>
    <w:rsid w:val="007E3535"/>
    <w:rsid w:val="007E3B79"/>
    <w:rsid w:val="008066EE"/>
    <w:rsid w:val="00817BB6"/>
    <w:rsid w:val="00822A7F"/>
    <w:rsid w:val="00884D6C"/>
    <w:rsid w:val="008A6853"/>
    <w:rsid w:val="0090189A"/>
    <w:rsid w:val="00906404"/>
    <w:rsid w:val="00936203"/>
    <w:rsid w:val="00962880"/>
    <w:rsid w:val="00976588"/>
    <w:rsid w:val="009E253F"/>
    <w:rsid w:val="00A27CA7"/>
    <w:rsid w:val="00A310F2"/>
    <w:rsid w:val="00A405DC"/>
    <w:rsid w:val="00A56CBD"/>
    <w:rsid w:val="00A640DC"/>
    <w:rsid w:val="00A71D0A"/>
    <w:rsid w:val="00A77F1E"/>
    <w:rsid w:val="00A8209E"/>
    <w:rsid w:val="00A834CC"/>
    <w:rsid w:val="00AD3BDA"/>
    <w:rsid w:val="00B04290"/>
    <w:rsid w:val="00B11187"/>
    <w:rsid w:val="00B3065C"/>
    <w:rsid w:val="00B70C3C"/>
    <w:rsid w:val="00B80DEF"/>
    <w:rsid w:val="00BA3071"/>
    <w:rsid w:val="00BB2622"/>
    <w:rsid w:val="00BB6E44"/>
    <w:rsid w:val="00BC4669"/>
    <w:rsid w:val="00BD0302"/>
    <w:rsid w:val="00BD5D60"/>
    <w:rsid w:val="00BF2B95"/>
    <w:rsid w:val="00BF4E22"/>
    <w:rsid w:val="00C06BAF"/>
    <w:rsid w:val="00C16EF1"/>
    <w:rsid w:val="00C448D3"/>
    <w:rsid w:val="00C93379"/>
    <w:rsid w:val="00CC794C"/>
    <w:rsid w:val="00CF27EA"/>
    <w:rsid w:val="00D00F6B"/>
    <w:rsid w:val="00D01A55"/>
    <w:rsid w:val="00D461B9"/>
    <w:rsid w:val="00D65572"/>
    <w:rsid w:val="00DB3D6C"/>
    <w:rsid w:val="00DC4D9C"/>
    <w:rsid w:val="00E014B6"/>
    <w:rsid w:val="00E1162F"/>
    <w:rsid w:val="00E11D5F"/>
    <w:rsid w:val="00E20E1F"/>
    <w:rsid w:val="00E379D7"/>
    <w:rsid w:val="00E62055"/>
    <w:rsid w:val="00E66FC3"/>
    <w:rsid w:val="00E7118F"/>
    <w:rsid w:val="00E747EA"/>
    <w:rsid w:val="00EF26FB"/>
    <w:rsid w:val="00F16282"/>
    <w:rsid w:val="00F27657"/>
    <w:rsid w:val="00F322B6"/>
    <w:rsid w:val="00F342DC"/>
    <w:rsid w:val="00F34D6D"/>
    <w:rsid w:val="00F63041"/>
    <w:rsid w:val="00F76452"/>
    <w:rsid w:val="00F76EBA"/>
    <w:rsid w:val="00F81ACF"/>
    <w:rsid w:val="00FD51AD"/>
    <w:rsid w:val="00FD6B46"/>
    <w:rsid w:val="00FD7F8F"/>
    <w:rsid w:val="00FE28C9"/>
    <w:rsid w:val="00FE768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335F"/>
  <w15:docId w15:val="{99D0DFD4-2437-4B33-8F2F-35D3D48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6557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6557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65572"/>
    <w:rPr>
      <w:sz w:val="16"/>
    </w:rPr>
  </w:style>
  <w:style w:type="paragraph" w:styleId="Kommentartext">
    <w:name w:val="annotation text"/>
    <w:basedOn w:val="Standard"/>
    <w:semiHidden/>
    <w:rsid w:val="00D65572"/>
    <w:rPr>
      <w:sz w:val="20"/>
    </w:rPr>
  </w:style>
  <w:style w:type="paragraph" w:styleId="Fuzeile">
    <w:name w:val="footer"/>
    <w:basedOn w:val="Standard"/>
    <w:rsid w:val="00D6557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6557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F1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Klassisch1">
    <w:name w:val="Table Classic 1"/>
    <w:basedOn w:val="NormaleTabelle"/>
    <w:rsid w:val="00F162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472B12"/>
    <w:pPr>
      <w:ind w:left="720"/>
      <w:contextualSpacing/>
    </w:pPr>
  </w:style>
  <w:style w:type="paragraph" w:styleId="berarbeitung">
    <w:name w:val="Revision"/>
    <w:hidden/>
    <w:uiPriority w:val="99"/>
    <w:semiHidden/>
    <w:rsid w:val="00BD5D6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D82840E2.dotm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8</cp:revision>
  <cp:lastPrinted>2017-09-15T17:59:00Z</cp:lastPrinted>
  <dcterms:created xsi:type="dcterms:W3CDTF">2017-08-08T09:29:00Z</dcterms:created>
  <dcterms:modified xsi:type="dcterms:W3CDTF">2017-09-15T18:01:00Z</dcterms:modified>
</cp:coreProperties>
</file>