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B" w:rsidRPr="006E0575" w:rsidRDefault="003D7B0B" w:rsidP="006E0575">
      <w:pPr>
        <w:tabs>
          <w:tab w:val="left" w:pos="5812"/>
        </w:tabs>
        <w:jc w:val="right"/>
        <w:rPr>
          <w:szCs w:val="24"/>
        </w:rPr>
      </w:pPr>
      <w:r w:rsidRPr="006E0575">
        <w:rPr>
          <w:szCs w:val="24"/>
        </w:rPr>
        <w:t xml:space="preserve">Anlage </w:t>
      </w:r>
      <w:r w:rsidR="008E5C9F">
        <w:rPr>
          <w:szCs w:val="24"/>
        </w:rPr>
        <w:t>20</w:t>
      </w:r>
      <w:r w:rsidRPr="006E0575">
        <w:rPr>
          <w:szCs w:val="24"/>
        </w:rPr>
        <w:t xml:space="preserve"> zur </w:t>
      </w:r>
      <w:proofErr w:type="spellStart"/>
      <w:r w:rsidRPr="006E0575">
        <w:rPr>
          <w:szCs w:val="24"/>
        </w:rPr>
        <w:t>GRDrs</w:t>
      </w:r>
      <w:proofErr w:type="spellEnd"/>
      <w:r w:rsidRPr="006E0575">
        <w:rPr>
          <w:szCs w:val="24"/>
        </w:rPr>
        <w:t xml:space="preserve"> </w:t>
      </w:r>
      <w:r w:rsidR="008E5C9F">
        <w:rPr>
          <w:szCs w:val="24"/>
        </w:rPr>
        <w:t>835</w:t>
      </w:r>
      <w:r w:rsidR="005F5B3D">
        <w:rPr>
          <w:szCs w:val="24"/>
        </w:rPr>
        <w:t>/201</w:t>
      </w:r>
      <w:r w:rsidR="004959CF">
        <w:rPr>
          <w:szCs w:val="24"/>
        </w:rPr>
        <w:t>7</w:t>
      </w:r>
    </w:p>
    <w:p w:rsidR="003D7B0B" w:rsidRPr="006E0575" w:rsidRDefault="003D7B0B" w:rsidP="006E0575"/>
    <w:p w:rsidR="003D7B0B" w:rsidRPr="006E0575" w:rsidRDefault="003D7B0B" w:rsidP="006E0575"/>
    <w:p w:rsidR="00184EDC" w:rsidRDefault="003D7B0B" w:rsidP="005A56AA">
      <w:pPr>
        <w:tabs>
          <w:tab w:val="left" w:pos="6521"/>
        </w:tabs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184EDC">
        <w:rPr>
          <w:b/>
          <w:sz w:val="36"/>
          <w:u w:val="single"/>
        </w:rPr>
        <w:t>g</w:t>
      </w:r>
    </w:p>
    <w:p w:rsidR="003D7B0B" w:rsidRPr="008E5C9F" w:rsidRDefault="00184EDC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 w:rsidRPr="008E5C9F">
        <w:rPr>
          <w:b/>
          <w:sz w:val="36"/>
          <w:u w:val="single"/>
        </w:rPr>
        <w:t>zum Stellenplan 20</w:t>
      </w:r>
      <w:r w:rsidR="00917651" w:rsidRPr="008E5C9F">
        <w:rPr>
          <w:b/>
          <w:sz w:val="36"/>
          <w:u w:val="single"/>
        </w:rPr>
        <w:t>1</w:t>
      </w:r>
      <w:r w:rsidR="004959CF" w:rsidRPr="008E5C9F">
        <w:rPr>
          <w:b/>
          <w:sz w:val="36"/>
          <w:u w:val="single"/>
        </w:rPr>
        <w:t>8</w:t>
      </w:r>
    </w:p>
    <w:p w:rsidR="003D7B0B" w:rsidRDefault="003D7B0B" w:rsidP="006E0575"/>
    <w:p w:rsidR="008E5C9F" w:rsidRDefault="008E5C9F" w:rsidP="006E0575"/>
    <w:p w:rsidR="008E5C9F" w:rsidRDefault="008E5C9F" w:rsidP="006E0575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8E5C9F" w:rsidRPr="006E0575" w:rsidTr="008E5C9F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8E5C9F" w:rsidRPr="006E0575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 xml:space="preserve"> Kostenstelle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8E5C9F" w:rsidRPr="006E0575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8E5C9F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BesGr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E5C9F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oder</w:t>
            </w:r>
          </w:p>
          <w:p w:rsidR="008E5C9F" w:rsidRPr="006E0575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EG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8E5C9F" w:rsidRPr="006E0575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8E5C9F" w:rsidRPr="006E0575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8E5C9F" w:rsidRPr="006E0575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 </w:t>
            </w:r>
            <w:r w:rsidRPr="006E0575">
              <w:rPr>
                <w:sz w:val="16"/>
                <w:szCs w:val="16"/>
              </w:rPr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8E5C9F" w:rsidRPr="006E0575" w:rsidRDefault="008E5C9F" w:rsidP="00136F5B">
            <w:pPr>
              <w:spacing w:before="60" w:after="60" w:line="200" w:lineRule="exact"/>
              <w:ind w:left="-85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proofErr w:type="spellEnd"/>
            <w:r w:rsidRPr="006E057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jährl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  <w:t xml:space="preserve"> kostenwirksamer</w:t>
            </w:r>
            <w:r>
              <w:rPr>
                <w:sz w:val="16"/>
                <w:szCs w:val="16"/>
              </w:rPr>
              <w:br/>
              <w:t xml:space="preserve"> </w:t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 in €</w:t>
            </w:r>
          </w:p>
        </w:tc>
      </w:tr>
      <w:tr w:rsidR="00A72FFF" w:rsidRPr="00A72FFF" w:rsidTr="008E5C9F">
        <w:tc>
          <w:tcPr>
            <w:tcW w:w="1814" w:type="dxa"/>
          </w:tcPr>
          <w:p w:rsidR="005F5B3D" w:rsidRPr="00A72FFF" w:rsidRDefault="005F5B3D" w:rsidP="006E0575">
            <w:pPr>
              <w:rPr>
                <w:sz w:val="20"/>
              </w:rPr>
            </w:pPr>
          </w:p>
          <w:p w:rsidR="005F5B3D" w:rsidRPr="00A72FFF" w:rsidRDefault="00917651" w:rsidP="006E0575">
            <w:pPr>
              <w:rPr>
                <w:sz w:val="20"/>
              </w:rPr>
            </w:pPr>
            <w:r w:rsidRPr="00A72FFF">
              <w:rPr>
                <w:sz w:val="20"/>
              </w:rPr>
              <w:t>67-4</w:t>
            </w:r>
            <w:r w:rsidR="00EE0B7E" w:rsidRPr="00A72FFF">
              <w:rPr>
                <w:sz w:val="20"/>
              </w:rPr>
              <w:t xml:space="preserve"> Bezirke</w:t>
            </w:r>
          </w:p>
          <w:p w:rsidR="0011112B" w:rsidRPr="00A72FFF" w:rsidRDefault="00EE0B7E" w:rsidP="006E0575">
            <w:pPr>
              <w:rPr>
                <w:sz w:val="20"/>
              </w:rPr>
            </w:pPr>
            <w:r w:rsidRPr="00A72FFF">
              <w:rPr>
                <w:sz w:val="20"/>
              </w:rPr>
              <w:t>67</w:t>
            </w:r>
            <w:r w:rsidR="001F568F" w:rsidRPr="00A72FFF">
              <w:rPr>
                <w:sz w:val="20"/>
              </w:rPr>
              <w:t>41 5010 – 6744 5010</w:t>
            </w:r>
          </w:p>
          <w:p w:rsidR="005F5B3D" w:rsidRPr="00A72FFF" w:rsidRDefault="005F5B3D" w:rsidP="00DB7316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185801" w:rsidRPr="00A72FFF" w:rsidRDefault="00185801" w:rsidP="00185801">
            <w:pPr>
              <w:rPr>
                <w:sz w:val="20"/>
              </w:rPr>
            </w:pPr>
          </w:p>
          <w:p w:rsidR="005F5B3D" w:rsidRPr="00A72FFF" w:rsidRDefault="00185801" w:rsidP="00185801">
            <w:pPr>
              <w:rPr>
                <w:sz w:val="20"/>
              </w:rPr>
            </w:pPr>
            <w:r w:rsidRPr="00A72FFF">
              <w:rPr>
                <w:sz w:val="20"/>
              </w:rPr>
              <w:t>Garten-, Friedhofs- und Forstamt</w:t>
            </w:r>
          </w:p>
        </w:tc>
        <w:tc>
          <w:tcPr>
            <w:tcW w:w="794" w:type="dxa"/>
          </w:tcPr>
          <w:p w:rsidR="005F5B3D" w:rsidRPr="00A72FFF" w:rsidRDefault="005F5B3D" w:rsidP="001F7237">
            <w:pPr>
              <w:jc w:val="center"/>
              <w:rPr>
                <w:sz w:val="20"/>
              </w:rPr>
            </w:pPr>
          </w:p>
          <w:p w:rsidR="005F5B3D" w:rsidRPr="00A72FFF" w:rsidRDefault="00917651" w:rsidP="001F7237">
            <w:pPr>
              <w:jc w:val="center"/>
              <w:rPr>
                <w:sz w:val="20"/>
              </w:rPr>
            </w:pPr>
            <w:r w:rsidRPr="00A72FFF">
              <w:rPr>
                <w:sz w:val="20"/>
              </w:rPr>
              <w:t xml:space="preserve">EG </w:t>
            </w:r>
            <w:r w:rsidR="00F30C68" w:rsidRPr="00A72FFF">
              <w:rPr>
                <w:sz w:val="20"/>
              </w:rPr>
              <w:t>9</w:t>
            </w:r>
            <w:r w:rsidR="00185801" w:rsidRPr="00A72FFF">
              <w:rPr>
                <w:sz w:val="20"/>
              </w:rPr>
              <w:t>b</w:t>
            </w:r>
          </w:p>
        </w:tc>
        <w:tc>
          <w:tcPr>
            <w:tcW w:w="1928" w:type="dxa"/>
          </w:tcPr>
          <w:p w:rsidR="005F5B3D" w:rsidRPr="00A72FFF" w:rsidRDefault="005F5B3D" w:rsidP="006E0575">
            <w:pPr>
              <w:rPr>
                <w:sz w:val="20"/>
              </w:rPr>
            </w:pPr>
          </w:p>
          <w:p w:rsidR="009637A5" w:rsidRPr="00A72FFF" w:rsidRDefault="00EE439B" w:rsidP="00EE439B">
            <w:pPr>
              <w:rPr>
                <w:noProof/>
                <w:sz w:val="20"/>
              </w:rPr>
            </w:pPr>
            <w:r w:rsidRPr="00A72FFF">
              <w:rPr>
                <w:noProof/>
                <w:sz w:val="20"/>
              </w:rPr>
              <w:t>B</w:t>
            </w:r>
            <w:r w:rsidR="009637A5" w:rsidRPr="00A72FFF">
              <w:rPr>
                <w:noProof/>
                <w:sz w:val="20"/>
              </w:rPr>
              <w:t>auaufseher/in</w:t>
            </w:r>
          </w:p>
          <w:p w:rsidR="00EE439B" w:rsidRPr="00A72FFF" w:rsidRDefault="00EE439B" w:rsidP="00EE439B">
            <w:pPr>
              <w:rPr>
                <w:sz w:val="20"/>
              </w:rPr>
            </w:pPr>
            <w:r w:rsidRPr="00A72FFF">
              <w:rPr>
                <w:noProof/>
                <w:sz w:val="20"/>
              </w:rPr>
              <w:t>(Grundstückseigen-tümerfunktion/TOP-E-Flächen)</w:t>
            </w:r>
          </w:p>
        </w:tc>
        <w:tc>
          <w:tcPr>
            <w:tcW w:w="737" w:type="dxa"/>
            <w:shd w:val="pct12" w:color="auto" w:fill="FFFFFF"/>
          </w:tcPr>
          <w:p w:rsidR="005F5B3D" w:rsidRPr="00A72FFF" w:rsidRDefault="005F5B3D" w:rsidP="001F7237">
            <w:pPr>
              <w:jc w:val="center"/>
              <w:rPr>
                <w:sz w:val="20"/>
              </w:rPr>
            </w:pPr>
          </w:p>
          <w:p w:rsidR="005F5B3D" w:rsidRPr="00A72FFF" w:rsidRDefault="00182150" w:rsidP="001F7237">
            <w:pPr>
              <w:jc w:val="center"/>
              <w:rPr>
                <w:sz w:val="20"/>
              </w:rPr>
            </w:pPr>
            <w:r w:rsidRPr="00A72FFF">
              <w:rPr>
                <w:sz w:val="20"/>
              </w:rPr>
              <w:t>2</w:t>
            </w:r>
            <w:r w:rsidR="00917651" w:rsidRPr="00A72FFF">
              <w:rPr>
                <w:sz w:val="20"/>
              </w:rPr>
              <w:t>,0</w:t>
            </w:r>
          </w:p>
        </w:tc>
        <w:tc>
          <w:tcPr>
            <w:tcW w:w="1134" w:type="dxa"/>
          </w:tcPr>
          <w:p w:rsidR="005F5B3D" w:rsidRPr="00A72FFF" w:rsidRDefault="005F5B3D" w:rsidP="001F7237">
            <w:pPr>
              <w:jc w:val="center"/>
              <w:rPr>
                <w:sz w:val="20"/>
              </w:rPr>
            </w:pPr>
          </w:p>
          <w:p w:rsidR="005F5B3D" w:rsidRPr="00A72FFF" w:rsidRDefault="008E5C9F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417" w:type="dxa"/>
          </w:tcPr>
          <w:p w:rsidR="005F5B3D" w:rsidRPr="00A72FFF" w:rsidRDefault="005F5B3D" w:rsidP="001F7237">
            <w:pPr>
              <w:jc w:val="center"/>
              <w:rPr>
                <w:sz w:val="20"/>
              </w:rPr>
            </w:pPr>
          </w:p>
          <w:p w:rsidR="005F5B3D" w:rsidRPr="00A72FFF" w:rsidRDefault="008E5C9F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122.600</w:t>
            </w:r>
          </w:p>
        </w:tc>
      </w:tr>
    </w:tbl>
    <w:p w:rsidR="003D7B0B" w:rsidRPr="00A72FFF" w:rsidRDefault="006E0575" w:rsidP="00884D6C">
      <w:pPr>
        <w:pStyle w:val="berschrift1"/>
      </w:pPr>
      <w:r w:rsidRPr="00A72FFF">
        <w:t>1</w:t>
      </w:r>
      <w:r w:rsidR="00884D6C" w:rsidRPr="00A72FFF">
        <w:tab/>
      </w:r>
      <w:r w:rsidR="003D7B0B" w:rsidRPr="00A72FFF">
        <w:t>Antra</w:t>
      </w:r>
      <w:r w:rsidR="003D7B0B" w:rsidRPr="00A72FFF">
        <w:rPr>
          <w:u w:val="none"/>
        </w:rPr>
        <w:t>g</w:t>
      </w:r>
      <w:r w:rsidR="003D7B0B" w:rsidRPr="00A72FFF">
        <w:t>, Stellenausstattun</w:t>
      </w:r>
      <w:r w:rsidR="003D7B0B" w:rsidRPr="00A72FFF">
        <w:rPr>
          <w:u w:val="none"/>
        </w:rPr>
        <w:t>g</w:t>
      </w:r>
    </w:p>
    <w:p w:rsidR="003D7B0B" w:rsidRPr="00A72FFF" w:rsidRDefault="003D7B0B" w:rsidP="00884D6C"/>
    <w:p w:rsidR="003D7B0B" w:rsidRPr="00A72FFF" w:rsidRDefault="00917651" w:rsidP="00884D6C">
      <w:r w:rsidRPr="00A72FFF">
        <w:t>Beant</w:t>
      </w:r>
      <w:r w:rsidR="00C843A6" w:rsidRPr="00A72FFF">
        <w:t xml:space="preserve">ragt wird die </w:t>
      </w:r>
      <w:r w:rsidR="008E5C9F">
        <w:t>S</w:t>
      </w:r>
      <w:r w:rsidR="00C843A6" w:rsidRPr="00A72FFF">
        <w:t>chaffung von 2</w:t>
      </w:r>
      <w:r w:rsidR="00645C55" w:rsidRPr="00A72FFF">
        <w:t xml:space="preserve"> Bauaufseher</w:t>
      </w:r>
      <w:r w:rsidR="009637A5" w:rsidRPr="00A72FFF">
        <w:t>/-innen-S</w:t>
      </w:r>
      <w:r w:rsidR="00645C55" w:rsidRPr="00A72FFF">
        <w:t>telle</w:t>
      </w:r>
      <w:r w:rsidR="00C843A6" w:rsidRPr="00A72FFF">
        <w:t>n</w:t>
      </w:r>
      <w:r w:rsidRPr="00A72FFF">
        <w:t xml:space="preserve"> zur Wahrnehmung </w:t>
      </w:r>
      <w:r w:rsidR="00C843A6" w:rsidRPr="00A72FFF">
        <w:t>der</w:t>
      </w:r>
      <w:r w:rsidRPr="00A72FFF">
        <w:t xml:space="preserve"> Grundstückseigentümer</w:t>
      </w:r>
      <w:r w:rsidR="00C843A6" w:rsidRPr="00A72FFF">
        <w:t>funktion</w:t>
      </w:r>
      <w:r w:rsidRPr="00A72FFF">
        <w:t xml:space="preserve"> sowie </w:t>
      </w:r>
      <w:r w:rsidR="00025EE0" w:rsidRPr="00A72FFF">
        <w:t>des Bürgerservice</w:t>
      </w:r>
      <w:r w:rsidRPr="00A72FFF">
        <w:t xml:space="preserve"> im Zusammenhang mit der </w:t>
      </w:r>
      <w:r w:rsidR="004959CF" w:rsidRPr="00A72FFF">
        <w:t>Pflege und Erhalt von Naturschutz- und ökologisch wertvollen Flächen im Außenbereich</w:t>
      </w:r>
      <w:r w:rsidR="00FA01D3" w:rsidRPr="00A72FFF">
        <w:t>.</w:t>
      </w:r>
    </w:p>
    <w:p w:rsidR="003D7B0B" w:rsidRPr="00A72FFF" w:rsidRDefault="003D7B0B" w:rsidP="00884D6C">
      <w:pPr>
        <w:pStyle w:val="berschrift1"/>
      </w:pPr>
      <w:r w:rsidRPr="00A72FFF">
        <w:t>2</w:t>
      </w:r>
      <w:r w:rsidRPr="00A72FFF">
        <w:tab/>
        <w:t>Schaffun</w:t>
      </w:r>
      <w:r w:rsidRPr="00A72FFF">
        <w:rPr>
          <w:u w:val="none"/>
        </w:rPr>
        <w:t>g</w:t>
      </w:r>
      <w:r w:rsidRPr="00A72FFF">
        <w:t>skriterien</w:t>
      </w:r>
    </w:p>
    <w:p w:rsidR="00FA01D3" w:rsidRPr="00A72FFF" w:rsidRDefault="00FA01D3" w:rsidP="00884D6C"/>
    <w:p w:rsidR="008E5C9F" w:rsidRDefault="008E5C9F" w:rsidP="00884D6C">
      <w:r w:rsidRPr="00A72FFF">
        <w:t xml:space="preserve">Die Stellen sind in der </w:t>
      </w:r>
      <w:r>
        <w:t>„</w:t>
      </w:r>
      <w:r w:rsidRPr="00A72FFF">
        <w:t>Grünen Liste</w:t>
      </w:r>
      <w:r>
        <w:t>“</w:t>
      </w:r>
      <w:r w:rsidRPr="00A72FFF">
        <w:t xml:space="preserve"> </w:t>
      </w:r>
      <w:r>
        <w:t xml:space="preserve">zum Haushalt 2018 </w:t>
      </w:r>
      <w:r w:rsidRPr="00A72FFF">
        <w:t>enthalten und in der Mitteilungsvorlage 98/2017 aufgeführt.</w:t>
      </w:r>
    </w:p>
    <w:p w:rsidR="008E5C9F" w:rsidRDefault="008E5C9F" w:rsidP="00884D6C"/>
    <w:p w:rsidR="00161487" w:rsidRPr="00A72FFF" w:rsidRDefault="008E5C9F" w:rsidP="00884D6C">
      <w:r w:rsidRPr="00A72FFF">
        <w:t>Alle Naturschutzgebiete auf Gemarkung der Stadt Stuttgart müssen sachgerecht nach qualifizierten Pflege- und Entwicklungsplänen unterhalten werden. Dies stellt eine gesetzliche Aufgabe nach der Novellierung des Naturschutzgesetzes von Baden-Württemberg aus dem Jahr 2015 dar. In den Paragraphen §§ 22 bis 34 wird die Sicherung der Biotopverbünde hervorgehoben und muss in der Stadt mit der Pflege der Top-E-Flächen umgesetzt werden.</w:t>
      </w:r>
    </w:p>
    <w:p w:rsidR="003D7B0B" w:rsidRPr="00A72FFF" w:rsidRDefault="003D7B0B" w:rsidP="00884D6C">
      <w:pPr>
        <w:pStyle w:val="berschrift1"/>
      </w:pPr>
      <w:r w:rsidRPr="00A72FFF">
        <w:t>3</w:t>
      </w:r>
      <w:r w:rsidRPr="00A72FFF">
        <w:tab/>
        <w:t>Bedarf</w:t>
      </w:r>
    </w:p>
    <w:p w:rsidR="003D7B0B" w:rsidRPr="00A72FFF" w:rsidRDefault="00884D6C" w:rsidP="00884D6C">
      <w:pPr>
        <w:pStyle w:val="berschrift2"/>
      </w:pPr>
      <w:r w:rsidRPr="00A72FFF">
        <w:t>3.1</w:t>
      </w:r>
      <w:r w:rsidRPr="00A72FFF">
        <w:tab/>
      </w:r>
      <w:r w:rsidR="006E0575" w:rsidRPr="00A72FFF">
        <w:t>Anlass</w:t>
      </w:r>
    </w:p>
    <w:p w:rsidR="008E5C9F" w:rsidRDefault="008E5C9F" w:rsidP="00884D6C"/>
    <w:p w:rsidR="009177FF" w:rsidRDefault="007848D7" w:rsidP="00884D6C">
      <w:r w:rsidRPr="00A72FFF">
        <w:t>Bei den Freiflächen in den städtischen Außenbezirken hat das Amt für Umweltschutz in Zusammenarbeit mit dem Amt für Liegenschaften und Wohnen Handlungsbedarf bei zahlreichen Naturschutz- und ökologisch wertvollen Flächen identifiziert.</w:t>
      </w:r>
      <w:r w:rsidR="008E5C9F">
        <w:t xml:space="preserve"> </w:t>
      </w:r>
      <w:r w:rsidR="00B83142" w:rsidRPr="00A72FFF">
        <w:t>Die im Besitz der Stadt befindlichen Freiflächen und vorgehaltenen Grundstücke müssen in gleicher We</w:t>
      </w:r>
      <w:r w:rsidR="008E5C9F">
        <w:t>ise regelmäßig gepflegt werden.</w:t>
      </w:r>
    </w:p>
    <w:p w:rsidR="008E5C9F" w:rsidRPr="00A72FFF" w:rsidRDefault="008E5C9F" w:rsidP="00884D6C"/>
    <w:p w:rsidR="009177FF" w:rsidRPr="00A72FFF" w:rsidRDefault="009177FF" w:rsidP="00884D6C">
      <w:r w:rsidRPr="00A72FFF">
        <w:t xml:space="preserve">Die Bauaufseher werden außerdem bei der Herstellung und Pflege von Ausgleichsflächen für Baumaßnahmen eingesetzt. Diese Flächen stehen nicht alle in der Verwaltung </w:t>
      </w:r>
      <w:r w:rsidRPr="00A72FFF">
        <w:lastRenderedPageBreak/>
        <w:t xml:space="preserve">des Garten-, Friedhofs- und Forstamtes, müssen </w:t>
      </w:r>
      <w:r w:rsidR="0023610F" w:rsidRPr="00A72FFF">
        <w:t>aber</w:t>
      </w:r>
      <w:r w:rsidRPr="00A72FFF">
        <w:t xml:space="preserve"> zuständigkeitshalber</w:t>
      </w:r>
      <w:r w:rsidR="0023610F" w:rsidRPr="00A72FFF">
        <w:t xml:space="preserve"> </w:t>
      </w:r>
      <w:r w:rsidRPr="00A72FFF">
        <w:t>hergestellt und im Auftrag der verwaltenden Ämter gepflegt werden. Aktuell zu nennen wären die neu hinzugekommenen Ausgleich</w:t>
      </w:r>
      <w:r w:rsidR="00B9472D">
        <w:t>s</w:t>
      </w:r>
      <w:bookmarkStart w:id="0" w:name="_GoBack"/>
      <w:bookmarkEnd w:id="0"/>
      <w:r w:rsidRPr="00A72FFF">
        <w:t>flächen für den Artenschutz bei Flüchtlingswohnheimen und die aufwändigen Vergrämungsmaßnahmen bzw. herzustellenden und zu unterhaltenden Ersatzbiotope für Eidechsen bei verschiedenen Großprojekten</w:t>
      </w:r>
      <w:r w:rsidR="00122F20" w:rsidRPr="00A72FFF">
        <w:t xml:space="preserve"> wie z.B. bei der Vorbereitung von Bauvorhaben im Neckarpark (vgl. </w:t>
      </w:r>
      <w:proofErr w:type="spellStart"/>
      <w:r w:rsidR="00122F20" w:rsidRPr="00A72FFF">
        <w:rPr>
          <w:rFonts w:ascii="Helv" w:hAnsi="Helv" w:cs="Helv"/>
          <w:szCs w:val="24"/>
        </w:rPr>
        <w:t>GRDrs</w:t>
      </w:r>
      <w:proofErr w:type="spellEnd"/>
      <w:r w:rsidR="00122F20" w:rsidRPr="00A72FFF">
        <w:rPr>
          <w:rFonts w:ascii="Helv" w:hAnsi="Helv" w:cs="Helv"/>
          <w:szCs w:val="24"/>
        </w:rPr>
        <w:t xml:space="preserve"> 556/2015)</w:t>
      </w:r>
      <w:r w:rsidRPr="00A72FFF">
        <w:t>. Auch die ständige ökologi</w:t>
      </w:r>
      <w:r w:rsidR="0023610F" w:rsidRPr="00A72FFF">
        <w:t xml:space="preserve">sche Baubegleitung ist eine </w:t>
      </w:r>
      <w:r w:rsidRPr="00A72FFF">
        <w:t>Aufgabe, die auch die Bauaufseher betrifft.</w:t>
      </w:r>
    </w:p>
    <w:p w:rsidR="00F94F11" w:rsidRPr="00A72FFF" w:rsidRDefault="00F94F11" w:rsidP="00884D6C"/>
    <w:p w:rsidR="003D7B0B" w:rsidRPr="00A72FFF" w:rsidRDefault="003D7B0B" w:rsidP="003B01EC">
      <w:pPr>
        <w:pStyle w:val="berschrift2"/>
        <w:ind w:left="0" w:firstLine="0"/>
      </w:pPr>
      <w:r w:rsidRPr="00A72FFF">
        <w:t>3.2</w:t>
      </w:r>
      <w:r w:rsidRPr="00A72FFF">
        <w:tab/>
        <w:t>Bisherige Aufgabenwahrnehmung</w:t>
      </w:r>
    </w:p>
    <w:p w:rsidR="003D7B0B" w:rsidRPr="00A72FFF" w:rsidRDefault="003D7B0B" w:rsidP="00884D6C"/>
    <w:p w:rsidR="003D7B0B" w:rsidRPr="00A72FFF" w:rsidRDefault="009637A5" w:rsidP="00884D6C">
      <w:r w:rsidRPr="00A72FFF">
        <w:t>S</w:t>
      </w:r>
      <w:r w:rsidR="00097AEA" w:rsidRPr="00A72FFF">
        <w:t>owohl die traditionellen Grundstückseigentümeraufgab</w:t>
      </w:r>
      <w:r w:rsidRPr="00A72FFF">
        <w:t>en als auch neu hinzu gekommene</w:t>
      </w:r>
      <w:r w:rsidR="00097AEA" w:rsidRPr="00A72FFF">
        <w:t xml:space="preserve"> Anforderungen der modernen Stadtgesellschaft </w:t>
      </w:r>
      <w:r w:rsidRPr="00A72FFF">
        <w:t xml:space="preserve">können </w:t>
      </w:r>
      <w:r w:rsidR="00097AEA" w:rsidRPr="00A72FFF">
        <w:t xml:space="preserve">nur ungenügend wahrgenommen werden. </w:t>
      </w:r>
    </w:p>
    <w:p w:rsidR="00097AEA" w:rsidRPr="00A72FFF" w:rsidRDefault="00097AEA" w:rsidP="00884D6C"/>
    <w:p w:rsidR="003D7B0B" w:rsidRPr="00A72FFF" w:rsidRDefault="006E0575" w:rsidP="00884D6C">
      <w:pPr>
        <w:pStyle w:val="berschrift2"/>
      </w:pPr>
      <w:r w:rsidRPr="00A72FFF">
        <w:t>3.3</w:t>
      </w:r>
      <w:r w:rsidR="003D7B0B" w:rsidRPr="00A72FFF">
        <w:tab/>
        <w:t>Auswirkungen bei Ablehnung der Stellenschaffungen</w:t>
      </w:r>
    </w:p>
    <w:p w:rsidR="003D7B0B" w:rsidRPr="00A72FFF" w:rsidRDefault="003D7B0B" w:rsidP="00884D6C"/>
    <w:p w:rsidR="003D7B0B" w:rsidRPr="00A72FFF" w:rsidRDefault="004D55C5" w:rsidP="00884D6C">
      <w:r w:rsidRPr="00A72FFF">
        <w:t>Einnahmedefizite und ungenügende Wahrnehmung der Grundstückseigentümeraufga</w:t>
      </w:r>
      <w:r w:rsidR="00DB7316" w:rsidRPr="00A72FFF">
        <w:t>ben bleiben</w:t>
      </w:r>
      <w:r w:rsidRPr="00A72FFF">
        <w:t xml:space="preserve">. Auf die </w:t>
      </w:r>
      <w:r w:rsidR="0058583F" w:rsidRPr="00A72FFF">
        <w:t>P</w:t>
      </w:r>
      <w:r w:rsidRPr="00A72FFF">
        <w:t xml:space="preserve">roblematik eines möglichen Organisationsverschuldens und ungenügender Forderungsverfolgung wird hingewiesen. </w:t>
      </w:r>
    </w:p>
    <w:p w:rsidR="004D55C5" w:rsidRPr="00A72FFF" w:rsidRDefault="004D55C5" w:rsidP="00884D6C"/>
    <w:p w:rsidR="0022432B" w:rsidRPr="00A72FFF" w:rsidRDefault="004D55C5" w:rsidP="0022432B">
      <w:r w:rsidRPr="00A72FFF">
        <w:t>Die Anforderungen an eine moderne und serviceorientierte Verwaltung öffentlicher Freiräume könn</w:t>
      </w:r>
      <w:r w:rsidR="008E5C9F">
        <w:t>t</w:t>
      </w:r>
      <w:r w:rsidRPr="00A72FFF">
        <w:t>en nicht erfüllt werden.</w:t>
      </w:r>
      <w:r w:rsidR="003B01EC" w:rsidRPr="00A72FFF">
        <w:t xml:space="preserve"> </w:t>
      </w:r>
      <w:r w:rsidR="0022432B" w:rsidRPr="00A72FFF">
        <w:t>Als mittelfristige Folge st</w:t>
      </w:r>
      <w:r w:rsidR="008E5C9F">
        <w:t>ünden</w:t>
      </w:r>
      <w:r w:rsidR="0022432B" w:rsidRPr="00A72FFF">
        <w:t xml:space="preserve"> umfangreiche Sanierungen oder Entwidmungen von öffentlichen Grünflächen im Raum.</w:t>
      </w:r>
    </w:p>
    <w:p w:rsidR="0022432B" w:rsidRPr="00A72FFF" w:rsidRDefault="0022432B" w:rsidP="00884D6C"/>
    <w:p w:rsidR="003D7B0B" w:rsidRPr="00A72FFF" w:rsidRDefault="00884D6C" w:rsidP="00884D6C">
      <w:pPr>
        <w:pStyle w:val="berschrift1"/>
      </w:pPr>
      <w:r w:rsidRPr="00A72FFF">
        <w:t>4</w:t>
      </w:r>
      <w:r w:rsidRPr="00A72FFF">
        <w:tab/>
      </w:r>
      <w:r w:rsidR="003D7B0B" w:rsidRPr="00A72FFF">
        <w:t>Stellenvermerke</w:t>
      </w:r>
    </w:p>
    <w:p w:rsidR="003D7B0B" w:rsidRPr="00A72FFF" w:rsidRDefault="003D7B0B" w:rsidP="00884D6C"/>
    <w:p w:rsidR="006E0575" w:rsidRPr="00A72FFF" w:rsidRDefault="008E5C9F" w:rsidP="00884D6C">
      <w:r>
        <w:t>keine</w:t>
      </w:r>
    </w:p>
    <w:sectPr w:rsidR="006E0575" w:rsidRPr="00A72FFF" w:rsidSect="00165C0D">
      <w:headerReference w:type="default" r:id="rId7"/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2B" w:rsidRDefault="00CF492B">
      <w:r>
        <w:separator/>
      </w:r>
    </w:p>
  </w:endnote>
  <w:endnote w:type="continuationSeparator" w:id="0">
    <w:p w:rsidR="00CF492B" w:rsidRDefault="00CF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2B" w:rsidRDefault="00CF492B">
      <w:r>
        <w:separator/>
      </w:r>
    </w:p>
  </w:footnote>
  <w:footnote w:type="continuationSeparator" w:id="0">
    <w:p w:rsidR="00CF492B" w:rsidRDefault="00CF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2B" w:rsidRDefault="00CF492B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512D99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512D99">
      <w:rPr>
        <w:rStyle w:val="Seitenzahl"/>
      </w:rPr>
      <w:fldChar w:fldCharType="separate"/>
    </w:r>
    <w:r w:rsidR="00B9472D">
      <w:rPr>
        <w:rStyle w:val="Seitenzahl"/>
        <w:noProof/>
      </w:rPr>
      <w:t>2</w:t>
    </w:r>
    <w:r w:rsidR="00512D99">
      <w:rPr>
        <w:rStyle w:val="Seitenzahl"/>
      </w:rPr>
      <w:fldChar w:fldCharType="end"/>
    </w:r>
    <w:r>
      <w:rPr>
        <w:rStyle w:val="Seitenzahl"/>
      </w:rPr>
      <w:t xml:space="preserve"> -</w:t>
    </w:r>
  </w:p>
  <w:p w:rsidR="00CF492B" w:rsidRDefault="00CF49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DE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EF"/>
    <w:rsid w:val="0000194A"/>
    <w:rsid w:val="0001373B"/>
    <w:rsid w:val="00025EE0"/>
    <w:rsid w:val="00062BFA"/>
    <w:rsid w:val="00065ECE"/>
    <w:rsid w:val="00097AEA"/>
    <w:rsid w:val="000A1146"/>
    <w:rsid w:val="0011112B"/>
    <w:rsid w:val="00122F20"/>
    <w:rsid w:val="0014415D"/>
    <w:rsid w:val="00150E45"/>
    <w:rsid w:val="00151522"/>
    <w:rsid w:val="00161487"/>
    <w:rsid w:val="00163034"/>
    <w:rsid w:val="00165C0D"/>
    <w:rsid w:val="00181857"/>
    <w:rsid w:val="00182150"/>
    <w:rsid w:val="00184EDC"/>
    <w:rsid w:val="00185801"/>
    <w:rsid w:val="001921A6"/>
    <w:rsid w:val="00194770"/>
    <w:rsid w:val="001A5F9B"/>
    <w:rsid w:val="001F568F"/>
    <w:rsid w:val="001F7237"/>
    <w:rsid w:val="00220B76"/>
    <w:rsid w:val="0022432B"/>
    <w:rsid w:val="0023610F"/>
    <w:rsid w:val="00272E4C"/>
    <w:rsid w:val="002924CB"/>
    <w:rsid w:val="002A20D1"/>
    <w:rsid w:val="002B5955"/>
    <w:rsid w:val="00380937"/>
    <w:rsid w:val="003B01EC"/>
    <w:rsid w:val="003D7B0B"/>
    <w:rsid w:val="00417DC4"/>
    <w:rsid w:val="00470135"/>
    <w:rsid w:val="0047606A"/>
    <w:rsid w:val="004908B5"/>
    <w:rsid w:val="0049121B"/>
    <w:rsid w:val="00495037"/>
    <w:rsid w:val="004959CF"/>
    <w:rsid w:val="004A1688"/>
    <w:rsid w:val="004B6796"/>
    <w:rsid w:val="004D15B3"/>
    <w:rsid w:val="004D55C5"/>
    <w:rsid w:val="004E3FD9"/>
    <w:rsid w:val="00512D99"/>
    <w:rsid w:val="0054395D"/>
    <w:rsid w:val="00563B79"/>
    <w:rsid w:val="005770BF"/>
    <w:rsid w:val="005813E7"/>
    <w:rsid w:val="0058583F"/>
    <w:rsid w:val="005A0A9D"/>
    <w:rsid w:val="005A56AA"/>
    <w:rsid w:val="005D0303"/>
    <w:rsid w:val="005E19C6"/>
    <w:rsid w:val="005F5B3D"/>
    <w:rsid w:val="00606F80"/>
    <w:rsid w:val="00624509"/>
    <w:rsid w:val="006350A4"/>
    <w:rsid w:val="00641C49"/>
    <w:rsid w:val="00645C55"/>
    <w:rsid w:val="00686F12"/>
    <w:rsid w:val="00695885"/>
    <w:rsid w:val="006B6D50"/>
    <w:rsid w:val="006E0575"/>
    <w:rsid w:val="006F4992"/>
    <w:rsid w:val="00730554"/>
    <w:rsid w:val="00754659"/>
    <w:rsid w:val="007848D7"/>
    <w:rsid w:val="007E3B79"/>
    <w:rsid w:val="008066EE"/>
    <w:rsid w:val="008113DE"/>
    <w:rsid w:val="0081693E"/>
    <w:rsid w:val="00817BB6"/>
    <w:rsid w:val="00832D95"/>
    <w:rsid w:val="00834926"/>
    <w:rsid w:val="008620C7"/>
    <w:rsid w:val="00884D6C"/>
    <w:rsid w:val="008D28D4"/>
    <w:rsid w:val="008E5C9F"/>
    <w:rsid w:val="00917651"/>
    <w:rsid w:val="009177FF"/>
    <w:rsid w:val="009637A5"/>
    <w:rsid w:val="00976588"/>
    <w:rsid w:val="009A6F3B"/>
    <w:rsid w:val="00A013C8"/>
    <w:rsid w:val="00A27CA7"/>
    <w:rsid w:val="00A60355"/>
    <w:rsid w:val="00A62305"/>
    <w:rsid w:val="00A71D0A"/>
    <w:rsid w:val="00A72394"/>
    <w:rsid w:val="00A72FFF"/>
    <w:rsid w:val="00A77F1E"/>
    <w:rsid w:val="00AB40B1"/>
    <w:rsid w:val="00AC2FD4"/>
    <w:rsid w:val="00AD01C1"/>
    <w:rsid w:val="00B04290"/>
    <w:rsid w:val="00B073F8"/>
    <w:rsid w:val="00B632EB"/>
    <w:rsid w:val="00B76268"/>
    <w:rsid w:val="00B80DEF"/>
    <w:rsid w:val="00B83142"/>
    <w:rsid w:val="00B90F65"/>
    <w:rsid w:val="00B9472D"/>
    <w:rsid w:val="00BC4669"/>
    <w:rsid w:val="00BF2D1C"/>
    <w:rsid w:val="00C16EF1"/>
    <w:rsid w:val="00C448D3"/>
    <w:rsid w:val="00C53F3F"/>
    <w:rsid w:val="00C843A6"/>
    <w:rsid w:val="00C9130A"/>
    <w:rsid w:val="00CF29A5"/>
    <w:rsid w:val="00CF2F81"/>
    <w:rsid w:val="00CF492B"/>
    <w:rsid w:val="00D74B0B"/>
    <w:rsid w:val="00DB3D6C"/>
    <w:rsid w:val="00DB7316"/>
    <w:rsid w:val="00DF1B7A"/>
    <w:rsid w:val="00E014B6"/>
    <w:rsid w:val="00E1162F"/>
    <w:rsid w:val="00E11D5F"/>
    <w:rsid w:val="00E20E1F"/>
    <w:rsid w:val="00E313D0"/>
    <w:rsid w:val="00E47DC4"/>
    <w:rsid w:val="00E7118F"/>
    <w:rsid w:val="00E93A0D"/>
    <w:rsid w:val="00EB647E"/>
    <w:rsid w:val="00EE0B7E"/>
    <w:rsid w:val="00EE439B"/>
    <w:rsid w:val="00F17205"/>
    <w:rsid w:val="00F27657"/>
    <w:rsid w:val="00F30C68"/>
    <w:rsid w:val="00F342DC"/>
    <w:rsid w:val="00F63041"/>
    <w:rsid w:val="00F75E17"/>
    <w:rsid w:val="00F76452"/>
    <w:rsid w:val="00F9146A"/>
    <w:rsid w:val="00F94F11"/>
    <w:rsid w:val="00F95E0F"/>
    <w:rsid w:val="00FA01D3"/>
    <w:rsid w:val="00FB655C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95C42"/>
  <w15:docId w15:val="{FFC79C4A-308D-4DD5-84C7-7E9DB7E8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220B76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220B76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220B76"/>
    <w:rPr>
      <w:sz w:val="16"/>
    </w:rPr>
  </w:style>
  <w:style w:type="paragraph" w:styleId="Kommentartext">
    <w:name w:val="annotation text"/>
    <w:basedOn w:val="Standard"/>
    <w:semiHidden/>
    <w:rsid w:val="00220B76"/>
    <w:rPr>
      <w:sz w:val="20"/>
    </w:rPr>
  </w:style>
  <w:style w:type="paragraph" w:styleId="Fuzeile">
    <w:name w:val="footer"/>
    <w:basedOn w:val="Standard"/>
    <w:rsid w:val="00220B76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220B76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606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6F8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F51D7812.dotm</Template>
  <TotalTime>0</TotalTime>
  <Pages>2</Pages>
  <Words>371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keywords/>
  <dc:description/>
  <cp:lastModifiedBy>U103007</cp:lastModifiedBy>
  <cp:revision>4</cp:revision>
  <cp:lastPrinted>2017-09-18T16:59:00Z</cp:lastPrinted>
  <dcterms:created xsi:type="dcterms:W3CDTF">2017-09-14T11:38:00Z</dcterms:created>
  <dcterms:modified xsi:type="dcterms:W3CDTF">2017-09-18T16:59:00Z</dcterms:modified>
</cp:coreProperties>
</file>