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AA0361">
        <w:rPr>
          <w:szCs w:val="24"/>
        </w:rPr>
        <w:t>2</w:t>
      </w:r>
      <w:r w:rsidRPr="006E0575">
        <w:rPr>
          <w:szCs w:val="24"/>
        </w:rPr>
        <w:t xml:space="preserve"> zur GRDrs </w:t>
      </w:r>
      <w:r w:rsidR="00C63416">
        <w:rPr>
          <w:szCs w:val="24"/>
        </w:rPr>
        <w:t>834</w:t>
      </w:r>
      <w:r w:rsidR="005F5B3D">
        <w:rPr>
          <w:szCs w:val="24"/>
        </w:rPr>
        <w:t>/201</w:t>
      </w:r>
      <w:r w:rsidR="008A6853">
        <w:rPr>
          <w:szCs w:val="24"/>
        </w:rPr>
        <w:t>7</w:t>
      </w:r>
    </w:p>
    <w:p w:rsidR="003D2188" w:rsidRDefault="003D2188" w:rsidP="005A56AA">
      <w:pPr>
        <w:tabs>
          <w:tab w:val="left" w:pos="6521"/>
        </w:tabs>
        <w:jc w:val="center"/>
        <w:rPr>
          <w:b/>
          <w:sz w:val="36"/>
          <w:u w:val="single"/>
        </w:rPr>
      </w:pPr>
    </w:p>
    <w:p w:rsidR="003D2188" w:rsidRDefault="003D2188" w:rsidP="005A56AA">
      <w:pPr>
        <w:tabs>
          <w:tab w:val="left" w:pos="6521"/>
        </w:tabs>
        <w:jc w:val="center"/>
        <w:rPr>
          <w:b/>
          <w:sz w:val="36"/>
          <w:u w:val="single"/>
        </w:rPr>
      </w:pPr>
    </w:p>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3D2188" w:rsidRDefault="003D2188"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A14D42" w:rsidRDefault="00400A2B" w:rsidP="006E0575">
            <w:pPr>
              <w:rPr>
                <w:sz w:val="20"/>
              </w:rPr>
            </w:pPr>
            <w:r w:rsidRPr="00400A2B">
              <w:rPr>
                <w:sz w:val="20"/>
              </w:rPr>
              <w:t>360.0303</w:t>
            </w:r>
            <w:r w:rsidRPr="00400A2B" w:rsidDel="00400A2B">
              <w:rPr>
                <w:sz w:val="20"/>
              </w:rPr>
              <w:t xml:space="preserve"> </w:t>
            </w:r>
          </w:p>
          <w:p w:rsidR="00A42DFC" w:rsidRDefault="00A42DFC" w:rsidP="006E0575">
            <w:pPr>
              <w:rPr>
                <w:sz w:val="20"/>
              </w:rPr>
            </w:pPr>
          </w:p>
          <w:p w:rsidR="0011112B" w:rsidRDefault="00F3716C" w:rsidP="006E0575">
            <w:pPr>
              <w:rPr>
                <w:sz w:val="20"/>
              </w:rPr>
            </w:pPr>
            <w:r>
              <w:rPr>
                <w:sz w:val="20"/>
              </w:rPr>
              <w:t>3630</w:t>
            </w:r>
            <w:r w:rsidR="00835CFB">
              <w:rPr>
                <w:sz w:val="20"/>
              </w:rPr>
              <w:t xml:space="preserve"> </w:t>
            </w:r>
            <w:r>
              <w:rPr>
                <w:sz w:val="20"/>
              </w:rPr>
              <w:t>5200</w:t>
            </w:r>
          </w:p>
          <w:p w:rsidR="005F5B3D" w:rsidRPr="006E0575" w:rsidRDefault="005F5B3D" w:rsidP="006E0575">
            <w:pPr>
              <w:rPr>
                <w:sz w:val="20"/>
              </w:rPr>
            </w:pPr>
          </w:p>
        </w:tc>
        <w:tc>
          <w:tcPr>
            <w:tcW w:w="1701" w:type="dxa"/>
          </w:tcPr>
          <w:p w:rsidR="005F5B3D" w:rsidRDefault="005F5B3D" w:rsidP="006E0575">
            <w:pPr>
              <w:rPr>
                <w:sz w:val="20"/>
              </w:rPr>
            </w:pPr>
          </w:p>
          <w:p w:rsidR="00A42DFC" w:rsidRDefault="00400A2B" w:rsidP="00F3716C">
            <w:pPr>
              <w:rPr>
                <w:sz w:val="20"/>
              </w:rPr>
            </w:pPr>
            <w:r>
              <w:rPr>
                <w:sz w:val="20"/>
              </w:rPr>
              <w:t xml:space="preserve">Amt für </w:t>
            </w:r>
          </w:p>
          <w:p w:rsidR="005F5B3D" w:rsidRPr="006E0575" w:rsidRDefault="00400A2B" w:rsidP="00A42DFC">
            <w:pPr>
              <w:rPr>
                <w:sz w:val="20"/>
              </w:rPr>
            </w:pPr>
            <w:r>
              <w:rPr>
                <w:sz w:val="20"/>
              </w:rPr>
              <w:t>Umweltschutz</w:t>
            </w:r>
            <w:r w:rsidR="00FE67EE">
              <w:rPr>
                <w:sz w:val="20"/>
              </w:rPr>
              <w:t xml:space="preserve"> </w:t>
            </w:r>
          </w:p>
        </w:tc>
        <w:tc>
          <w:tcPr>
            <w:tcW w:w="794" w:type="dxa"/>
          </w:tcPr>
          <w:p w:rsidR="005F5B3D" w:rsidRDefault="005F5B3D" w:rsidP="008A6853">
            <w:pPr>
              <w:rPr>
                <w:sz w:val="20"/>
              </w:rPr>
            </w:pPr>
          </w:p>
          <w:p w:rsidR="005F5B3D" w:rsidRPr="006E0575" w:rsidRDefault="00A14D42" w:rsidP="008A6853">
            <w:pPr>
              <w:rPr>
                <w:sz w:val="20"/>
              </w:rPr>
            </w:pPr>
            <w:r>
              <w:rPr>
                <w:sz w:val="20"/>
              </w:rPr>
              <w:t>EG</w:t>
            </w:r>
            <w:r w:rsidR="00835CFB">
              <w:rPr>
                <w:sz w:val="20"/>
              </w:rPr>
              <w:t xml:space="preserve"> </w:t>
            </w:r>
            <w:r>
              <w:rPr>
                <w:sz w:val="20"/>
              </w:rPr>
              <w:t>9</w:t>
            </w:r>
            <w:r w:rsidR="00566E97">
              <w:rPr>
                <w:sz w:val="20"/>
              </w:rPr>
              <w:t>c</w:t>
            </w:r>
          </w:p>
        </w:tc>
        <w:tc>
          <w:tcPr>
            <w:tcW w:w="1928" w:type="dxa"/>
          </w:tcPr>
          <w:p w:rsidR="005F5B3D" w:rsidRDefault="005F5B3D" w:rsidP="006E0575">
            <w:pPr>
              <w:rPr>
                <w:sz w:val="20"/>
              </w:rPr>
            </w:pPr>
          </w:p>
          <w:p w:rsidR="005F5B3D" w:rsidRDefault="00A14D42" w:rsidP="006E0575">
            <w:pPr>
              <w:rPr>
                <w:sz w:val="20"/>
              </w:rPr>
            </w:pPr>
            <w:r>
              <w:rPr>
                <w:sz w:val="20"/>
              </w:rPr>
              <w:t>Sachbearbeiter/-in</w:t>
            </w:r>
          </w:p>
          <w:p w:rsidR="00835CFB" w:rsidRPr="006E0575" w:rsidRDefault="00835CFB" w:rsidP="006E0575">
            <w:pPr>
              <w:rPr>
                <w:sz w:val="20"/>
              </w:rPr>
            </w:pPr>
            <w:r w:rsidRPr="00835CFB">
              <w:rPr>
                <w:sz w:val="20"/>
              </w:rPr>
              <w:t>(Kleinfeuerungsanlagen)</w:t>
            </w:r>
            <w:r w:rsidR="00F95981">
              <w:rPr>
                <w:sz w:val="20"/>
              </w:rPr>
              <w:br/>
            </w:r>
          </w:p>
        </w:tc>
        <w:tc>
          <w:tcPr>
            <w:tcW w:w="737" w:type="dxa"/>
            <w:shd w:val="pct12" w:color="auto" w:fill="FFFFFF"/>
          </w:tcPr>
          <w:p w:rsidR="00385EFA" w:rsidRDefault="00385EFA" w:rsidP="008A6853">
            <w:pPr>
              <w:rPr>
                <w:sz w:val="20"/>
              </w:rPr>
            </w:pPr>
          </w:p>
          <w:p w:rsidR="005F5B3D" w:rsidRPr="006E0575" w:rsidRDefault="00385EFA" w:rsidP="008A6853">
            <w:pPr>
              <w:rPr>
                <w:sz w:val="20"/>
              </w:rPr>
            </w:pPr>
            <w:r>
              <w:rPr>
                <w:sz w:val="20"/>
              </w:rPr>
              <w:t>0,5</w:t>
            </w:r>
          </w:p>
        </w:tc>
        <w:tc>
          <w:tcPr>
            <w:tcW w:w="1134" w:type="dxa"/>
          </w:tcPr>
          <w:p w:rsidR="005F5B3D" w:rsidRDefault="005F5B3D" w:rsidP="008A6853">
            <w:pPr>
              <w:rPr>
                <w:sz w:val="20"/>
              </w:rPr>
            </w:pPr>
          </w:p>
          <w:p w:rsidR="00385EFA" w:rsidRDefault="00A14D42" w:rsidP="008A6853">
            <w:pPr>
              <w:rPr>
                <w:sz w:val="20"/>
              </w:rPr>
            </w:pPr>
            <w:r>
              <w:rPr>
                <w:sz w:val="20"/>
              </w:rPr>
              <w:t>KW</w:t>
            </w:r>
            <w:r w:rsidR="000F1947">
              <w:rPr>
                <w:sz w:val="20"/>
              </w:rPr>
              <w:t xml:space="preserve"> </w:t>
            </w:r>
          </w:p>
          <w:p w:rsidR="005F5B3D" w:rsidRDefault="00385EFA" w:rsidP="008A6853">
            <w:pPr>
              <w:rPr>
                <w:sz w:val="20"/>
              </w:rPr>
            </w:pPr>
            <w:r>
              <w:rPr>
                <w:sz w:val="20"/>
              </w:rPr>
              <w:t>0</w:t>
            </w:r>
            <w:r w:rsidR="000F1947">
              <w:rPr>
                <w:sz w:val="20"/>
              </w:rPr>
              <w:t>1/</w:t>
            </w:r>
            <w:r w:rsidR="003D2188">
              <w:rPr>
                <w:sz w:val="20"/>
              </w:rPr>
              <w:t>20</w:t>
            </w:r>
            <w:r>
              <w:rPr>
                <w:sz w:val="20"/>
              </w:rPr>
              <w:t>19</w:t>
            </w:r>
          </w:p>
          <w:p w:rsidR="00487419" w:rsidRPr="00487419" w:rsidRDefault="00487419" w:rsidP="008A6853">
            <w:pPr>
              <w:rPr>
                <w:sz w:val="19"/>
                <w:szCs w:val="19"/>
              </w:rPr>
            </w:pPr>
          </w:p>
        </w:tc>
        <w:tc>
          <w:tcPr>
            <w:tcW w:w="1417" w:type="dxa"/>
          </w:tcPr>
          <w:p w:rsidR="005F5B3D" w:rsidRDefault="005F5B3D" w:rsidP="008A6853">
            <w:pPr>
              <w:rPr>
                <w:sz w:val="20"/>
              </w:rPr>
            </w:pPr>
          </w:p>
          <w:p w:rsidR="00C939F3" w:rsidRDefault="003D2188" w:rsidP="003D2188">
            <w:pPr>
              <w:jc w:val="center"/>
              <w:rPr>
                <w:sz w:val="20"/>
              </w:rPr>
            </w:pPr>
            <w:r>
              <w:rPr>
                <w:sz w:val="20"/>
              </w:rPr>
              <w:t>(30.650)</w:t>
            </w:r>
          </w:p>
          <w:p w:rsidR="003D2188" w:rsidRPr="006E0575" w:rsidRDefault="003D2188" w:rsidP="003D2188">
            <w:pPr>
              <w:jc w:val="center"/>
              <w:rPr>
                <w:sz w:val="20"/>
              </w:rPr>
            </w:pPr>
            <w:r>
              <w:rPr>
                <w:sz w:val="20"/>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385EFA" w:rsidP="00884D6C">
      <w:r>
        <w:t xml:space="preserve">Es </w:t>
      </w:r>
      <w:r w:rsidR="00DB51D4">
        <w:t xml:space="preserve">wird die Schaffung einer </w:t>
      </w:r>
      <w:r>
        <w:t>0,5</w:t>
      </w:r>
      <w:r w:rsidR="00DB51D4">
        <w:t xml:space="preserve"> Stelle</w:t>
      </w:r>
      <w:r>
        <w:t xml:space="preserve"> in EG 9</w:t>
      </w:r>
      <w:r w:rsidR="00C0259D">
        <w:t>c</w:t>
      </w:r>
      <w:r w:rsidR="00DB51D4">
        <w:t xml:space="preserve"> zur </w:t>
      </w:r>
      <w:r>
        <w:t>Umsetzung</w:t>
      </w:r>
      <w:r w:rsidR="00DB51D4">
        <w:t xml:space="preserve"> der Luftqualitätsverordnung-Kleinfeuerungsanlagen </w:t>
      </w:r>
      <w:r>
        <w:t>bei</w:t>
      </w:r>
      <w:r w:rsidR="00DB51D4">
        <w:t xml:space="preserve"> der unteren Immissionsschutzbehörde </w:t>
      </w:r>
      <w:r w:rsidR="003D2188">
        <w:t xml:space="preserve">für den </w:t>
      </w:r>
      <w:r w:rsidR="003D2188" w:rsidRPr="003D2188">
        <w:rPr>
          <w:b/>
        </w:rPr>
        <w:t>Innendienst</w:t>
      </w:r>
      <w:r w:rsidR="003D2188">
        <w:t xml:space="preserve"> </w:t>
      </w:r>
      <w:r>
        <w:t>beantragt.</w:t>
      </w:r>
    </w:p>
    <w:p w:rsidR="00DB1169" w:rsidRDefault="00DB1169" w:rsidP="00884D6C"/>
    <w:p w:rsidR="00DB1169" w:rsidRDefault="00DB1169" w:rsidP="00DB1169">
      <w:pPr>
        <w:rPr>
          <w:noProof/>
          <w:szCs w:val="22"/>
        </w:rPr>
      </w:pPr>
      <w:r w:rsidRPr="00E25D30">
        <w:rPr>
          <w:noProof/>
          <w:szCs w:val="22"/>
        </w:rPr>
        <w:t>D</w:t>
      </w:r>
      <w:r>
        <w:rPr>
          <w:noProof/>
          <w:szCs w:val="22"/>
        </w:rPr>
        <w:t>as</w:t>
      </w:r>
      <w:r w:rsidRPr="00E25D30">
        <w:rPr>
          <w:noProof/>
          <w:szCs w:val="22"/>
        </w:rPr>
        <w:t xml:space="preserve"> zusätzlich </w:t>
      </w:r>
      <w:r>
        <w:rPr>
          <w:noProof/>
          <w:szCs w:val="22"/>
        </w:rPr>
        <w:t>erforderliche Personal für Vor-Ort-Kontrollen</w:t>
      </w:r>
      <w:r w:rsidRPr="00E25D30">
        <w:rPr>
          <w:noProof/>
          <w:szCs w:val="22"/>
        </w:rPr>
        <w:t xml:space="preserve"> wird mit Anlage </w:t>
      </w:r>
      <w:r>
        <w:rPr>
          <w:noProof/>
          <w:szCs w:val="22"/>
        </w:rPr>
        <w:t>8</w:t>
      </w:r>
      <w:r w:rsidRPr="00E25D30">
        <w:rPr>
          <w:noProof/>
          <w:szCs w:val="22"/>
        </w:rPr>
        <w:t xml:space="preserve"> dieser GRDrs</w:t>
      </w:r>
      <w:r>
        <w:rPr>
          <w:noProof/>
          <w:szCs w:val="22"/>
        </w:rPr>
        <w:t xml:space="preserve"> beantragt.</w:t>
      </w:r>
    </w:p>
    <w:p w:rsidR="00DB1169" w:rsidRDefault="00DB1169"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385EFA" w:rsidP="00884D6C">
      <w:r>
        <w:t xml:space="preserve">Die Umsetzung der neuen gesetzlichen Regelung </w:t>
      </w:r>
      <w:r w:rsidR="00022CB0">
        <w:t>„</w:t>
      </w:r>
      <w:r w:rsidR="00022CB0" w:rsidRPr="00022CB0">
        <w:t>Verordnung der Landesregierung über Betrie</w:t>
      </w:r>
      <w:r w:rsidR="00022CB0">
        <w:t>bsbeschränkungen für kleine Feu</w:t>
      </w:r>
      <w:r w:rsidR="00022CB0" w:rsidRPr="00022CB0">
        <w:t>erungsanlagen</w:t>
      </w:r>
      <w:r w:rsidR="00022CB0">
        <w:t>“ führt zu einer Arbeitsvermehrung, die mit dem vorhandenen Personal nicht aufgefangen werden kann.</w:t>
      </w:r>
    </w:p>
    <w:p w:rsidR="003D2188" w:rsidRDefault="003D2188" w:rsidP="00884D6C"/>
    <w:p w:rsidR="003D2188" w:rsidRDefault="003D2188" w:rsidP="00884D6C">
      <w:r>
        <w:t>Die Schaffung der Stelle ist voraussichtlich haushaltsneutral durch Einnahmen aus den erteilten Ausnahmegenehmigungen.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9D135D" w:rsidRDefault="00F27598" w:rsidP="009D135D">
      <w:pPr>
        <w:rPr>
          <w:noProof/>
          <w:szCs w:val="22"/>
        </w:rPr>
      </w:pPr>
      <w:r>
        <w:rPr>
          <w:noProof/>
          <w:szCs w:val="22"/>
        </w:rPr>
        <w:t>Die hohe</w:t>
      </w:r>
      <w:r w:rsidR="008D6CFE" w:rsidRPr="00B91174">
        <w:rPr>
          <w:noProof/>
          <w:szCs w:val="22"/>
        </w:rPr>
        <w:t xml:space="preserve"> Feinstaubbelastung in Stuttgart </w:t>
      </w:r>
      <w:r>
        <w:rPr>
          <w:noProof/>
          <w:szCs w:val="22"/>
        </w:rPr>
        <w:t>verstößt</w:t>
      </w:r>
      <w:r w:rsidR="008D6CFE" w:rsidRPr="00B91174">
        <w:rPr>
          <w:noProof/>
          <w:szCs w:val="22"/>
        </w:rPr>
        <w:t xml:space="preserve"> gegen die Luftqualitätsrichtlinie </w:t>
      </w:r>
      <w:r>
        <w:rPr>
          <w:noProof/>
          <w:szCs w:val="22"/>
        </w:rPr>
        <w:t xml:space="preserve"> 2</w:t>
      </w:r>
      <w:r w:rsidR="008D6CFE" w:rsidRPr="00B91174">
        <w:rPr>
          <w:noProof/>
          <w:szCs w:val="22"/>
        </w:rPr>
        <w:t xml:space="preserve">008/50/EG des Europäischen Parlaments und des Rates vom 21. Mai </w:t>
      </w:r>
      <w:r>
        <w:rPr>
          <w:noProof/>
          <w:szCs w:val="22"/>
        </w:rPr>
        <w:t>2008</w:t>
      </w:r>
      <w:r w:rsidR="008D6CFE" w:rsidRPr="00B91174">
        <w:rPr>
          <w:noProof/>
          <w:szCs w:val="22"/>
        </w:rPr>
        <w:t>. Allein durch lokale verkehrliche Maßnahmen kann die Luftqualität nicht verbessert werden. Die Regierung des Landes Baden-Württemberg hat daher zum 01.0</w:t>
      </w:r>
      <w:r w:rsidR="00E62631">
        <w:rPr>
          <w:noProof/>
          <w:szCs w:val="22"/>
        </w:rPr>
        <w:t>2</w:t>
      </w:r>
      <w:r w:rsidR="008D6CFE" w:rsidRPr="00B91174">
        <w:rPr>
          <w:noProof/>
          <w:szCs w:val="22"/>
        </w:rPr>
        <w:t xml:space="preserve">.2017 eine Luftqualitätsverordnung-Kleinfeuerungsanlagen erlassen. </w:t>
      </w:r>
      <w:r w:rsidR="00E62631">
        <w:rPr>
          <w:noProof/>
          <w:szCs w:val="22"/>
        </w:rPr>
        <w:t xml:space="preserve">Die Zuständigkeit für Überwachung und Umsetzung der VO liegt bei der </w:t>
      </w:r>
      <w:r w:rsidR="003D2188">
        <w:rPr>
          <w:noProof/>
          <w:szCs w:val="22"/>
        </w:rPr>
        <w:t>unteren Immissionsschutzbehörde (Amt für Umweltschutz)</w:t>
      </w:r>
      <w:r w:rsidR="00E62631">
        <w:rPr>
          <w:noProof/>
          <w:szCs w:val="22"/>
        </w:rPr>
        <w:t>.</w:t>
      </w:r>
      <w:r w:rsidR="007B22BB">
        <w:rPr>
          <w:noProof/>
          <w:szCs w:val="22"/>
        </w:rPr>
        <w:t xml:space="preserve"> </w:t>
      </w:r>
      <w:r w:rsidR="008D6CFE" w:rsidRPr="00B91174">
        <w:rPr>
          <w:noProof/>
          <w:szCs w:val="22"/>
        </w:rPr>
        <w:t>Darin wird geregelt, dass bei Überschreitung von Immissionsgren</w:t>
      </w:r>
      <w:r>
        <w:rPr>
          <w:noProof/>
          <w:szCs w:val="22"/>
        </w:rPr>
        <w:t>z</w:t>
      </w:r>
      <w:r w:rsidR="008D6CFE" w:rsidRPr="00B91174">
        <w:rPr>
          <w:noProof/>
          <w:szCs w:val="22"/>
        </w:rPr>
        <w:t xml:space="preserve">werten </w:t>
      </w:r>
      <w:r>
        <w:rPr>
          <w:noProof/>
          <w:szCs w:val="22"/>
        </w:rPr>
        <w:t xml:space="preserve">- Feinstaubalarm - </w:t>
      </w:r>
      <w:r w:rsidR="008D6CFE" w:rsidRPr="00B91174">
        <w:rPr>
          <w:noProof/>
          <w:szCs w:val="22"/>
        </w:rPr>
        <w:t xml:space="preserve">der Betrieb von </w:t>
      </w:r>
      <w:r>
        <w:rPr>
          <w:noProof/>
          <w:szCs w:val="22"/>
        </w:rPr>
        <w:lastRenderedPageBreak/>
        <w:t>E</w:t>
      </w:r>
      <w:r w:rsidR="008D6CFE" w:rsidRPr="00B91174">
        <w:rPr>
          <w:noProof/>
          <w:szCs w:val="22"/>
        </w:rPr>
        <w:t>inzelraumfeuerungsanlagen für feste Brennstoffe im Stadtgebiet Stuttgart</w:t>
      </w:r>
      <w:r>
        <w:rPr>
          <w:noProof/>
          <w:szCs w:val="22"/>
        </w:rPr>
        <w:t xml:space="preserve"> </w:t>
      </w:r>
      <w:r w:rsidR="008D6CFE" w:rsidRPr="00B91174">
        <w:rPr>
          <w:noProof/>
          <w:szCs w:val="22"/>
        </w:rPr>
        <w:t>zu untersagen ist</w:t>
      </w:r>
      <w:r w:rsidR="008D6CFE" w:rsidRPr="0087427E">
        <w:rPr>
          <w:noProof/>
          <w:szCs w:val="22"/>
        </w:rPr>
        <w:t>.</w:t>
      </w:r>
      <w:r w:rsidRPr="0087427E">
        <w:rPr>
          <w:noProof/>
          <w:szCs w:val="22"/>
        </w:rPr>
        <w:t xml:space="preserve"> </w:t>
      </w:r>
    </w:p>
    <w:p w:rsidR="009D135D" w:rsidRDefault="009D135D" w:rsidP="009D135D">
      <w:pPr>
        <w:rPr>
          <w:noProof/>
          <w:szCs w:val="22"/>
        </w:rPr>
      </w:pPr>
    </w:p>
    <w:p w:rsidR="003D2188" w:rsidRDefault="003D2188" w:rsidP="009D135D">
      <w:pPr>
        <w:rPr>
          <w:noProof/>
          <w:szCs w:val="22"/>
        </w:rPr>
      </w:pPr>
    </w:p>
    <w:p w:rsidR="009D135D" w:rsidRDefault="009D135D" w:rsidP="009D135D">
      <w:pPr>
        <w:rPr>
          <w:noProof/>
          <w:szCs w:val="22"/>
        </w:rPr>
      </w:pPr>
      <w:r>
        <w:rPr>
          <w:noProof/>
          <w:szCs w:val="22"/>
        </w:rPr>
        <w:t>Folgende Aufgaben sind mit der Umsetzung der Verordnung verbunden:</w:t>
      </w:r>
    </w:p>
    <w:p w:rsidR="009D135D" w:rsidRDefault="009D135D" w:rsidP="009D135D">
      <w:pPr>
        <w:rPr>
          <w:noProof/>
          <w:szCs w:val="22"/>
        </w:rPr>
      </w:pPr>
    </w:p>
    <w:p w:rsidR="009D135D" w:rsidRPr="00C63416" w:rsidRDefault="009D135D" w:rsidP="009D135D">
      <w:pPr>
        <w:rPr>
          <w:b/>
          <w:noProof/>
          <w:szCs w:val="22"/>
        </w:rPr>
      </w:pPr>
      <w:r w:rsidRPr="00C63416">
        <w:rPr>
          <w:b/>
          <w:noProof/>
          <w:szCs w:val="22"/>
        </w:rPr>
        <w:t>Ortsübliche Bekanntgabe</w:t>
      </w:r>
    </w:p>
    <w:p w:rsidR="009D135D" w:rsidRDefault="009D135D" w:rsidP="009D135D">
      <w:pPr>
        <w:rPr>
          <w:noProof/>
          <w:szCs w:val="22"/>
        </w:rPr>
      </w:pPr>
      <w:r>
        <w:rPr>
          <w:noProof/>
          <w:szCs w:val="22"/>
        </w:rPr>
        <w:t>Die Verordnung sieht ein zeitlich befristetes Betriebsverbot bei Gefahr einer Überschreitung des in § 4 Absatz 1 der Verordnung über Luftqualitätsstandards und Emissionshöchstmengen (39. BImSchV) festgelegten über den Tag gemittelten Immissionsgren</w:t>
      </w:r>
      <w:r w:rsidR="003D2188">
        <w:rPr>
          <w:noProof/>
          <w:szCs w:val="22"/>
        </w:rPr>
        <w:t>z</w:t>
      </w:r>
      <w:r>
        <w:rPr>
          <w:noProof/>
          <w:szCs w:val="22"/>
        </w:rPr>
        <w:t>werts für Partikel (PM10) im Gemeindegebiet Stuttgart vor. Dies betrifft regelmäßig jeweils die Zeiträume eines stark eingeschränkten Austauschsvermögens vom 15. Oktober bis 15. April.</w:t>
      </w:r>
    </w:p>
    <w:p w:rsidR="009D135D" w:rsidRDefault="009D135D" w:rsidP="009D135D">
      <w:pPr>
        <w:rPr>
          <w:noProof/>
          <w:szCs w:val="22"/>
        </w:rPr>
      </w:pPr>
      <w:r>
        <w:rPr>
          <w:noProof/>
          <w:szCs w:val="22"/>
        </w:rPr>
        <w:t>Das Verbot muss</w:t>
      </w:r>
      <w:r w:rsidRPr="0087427E">
        <w:rPr>
          <w:noProof/>
          <w:szCs w:val="22"/>
        </w:rPr>
        <w:t xml:space="preserve"> jeweils per Allgemeinverfügung ortsüblich bekannt</w:t>
      </w:r>
      <w:r w:rsidR="004A7BC7">
        <w:rPr>
          <w:noProof/>
          <w:szCs w:val="22"/>
        </w:rPr>
        <w:t xml:space="preserve"> </w:t>
      </w:r>
      <w:r w:rsidRPr="0087427E">
        <w:rPr>
          <w:noProof/>
          <w:szCs w:val="22"/>
        </w:rPr>
        <w:t>gemacht werden. Dasselbe gilt bei Beendigung des Feinstaubalarms</w:t>
      </w:r>
      <w:r>
        <w:rPr>
          <w:noProof/>
          <w:szCs w:val="22"/>
        </w:rPr>
        <w:t>.</w:t>
      </w:r>
    </w:p>
    <w:p w:rsidR="009D135D" w:rsidRDefault="009D135D" w:rsidP="009D135D">
      <w:pPr>
        <w:rPr>
          <w:noProof/>
          <w:szCs w:val="22"/>
        </w:rPr>
      </w:pPr>
    </w:p>
    <w:p w:rsidR="009D135D" w:rsidRPr="00C63416" w:rsidRDefault="009D135D" w:rsidP="009D135D">
      <w:pPr>
        <w:rPr>
          <w:b/>
          <w:noProof/>
          <w:szCs w:val="22"/>
        </w:rPr>
      </w:pPr>
      <w:r w:rsidRPr="00C63416">
        <w:rPr>
          <w:b/>
          <w:noProof/>
          <w:szCs w:val="22"/>
        </w:rPr>
        <w:t>Erteilen von Ausnahmegenehmigungen</w:t>
      </w:r>
    </w:p>
    <w:p w:rsidR="009D135D" w:rsidRDefault="009D135D" w:rsidP="009D135D">
      <w:pPr>
        <w:rPr>
          <w:noProof/>
          <w:szCs w:val="22"/>
        </w:rPr>
      </w:pPr>
      <w:r>
        <w:rPr>
          <w:noProof/>
          <w:szCs w:val="22"/>
        </w:rPr>
        <w:t>Von der Betriebseinschränkung ausgenommen sind Einzelraumfeuerungsanlagen für feste Brennstoffe, die alleinige Wärmequelle für eine Wohneinheit sind, Herde sowie Einzelraumfeuerungsanlagen für feste Brennstoffe, mit denen die Nutzungspflicht aus § 4 Absatz 1 in Verbindung mit § 5 Absatz 5 des Erneuerbare-Wärme-Gesetzes (EWärmeG) vom 17. März 2015 oder nach § 4 Absatz 2 in Verbindung mit § 4 Absatz 5 EWärmeG erfüllt wird. Ausgenommen vom Betr</w:t>
      </w:r>
      <w:r w:rsidR="004A7BC7">
        <w:rPr>
          <w:noProof/>
          <w:szCs w:val="22"/>
        </w:rPr>
        <w:t>ie</w:t>
      </w:r>
      <w:bookmarkStart w:id="0" w:name="_GoBack"/>
      <w:bookmarkEnd w:id="0"/>
      <w:r>
        <w:rPr>
          <w:noProof/>
          <w:szCs w:val="22"/>
        </w:rPr>
        <w:t>bsverbot sind daneben Einzelraumfeuerungsanlagen für feste Brennstoffe im Sinne des § 3 Absatz 1 Nummer 5a der 1. BImSchV (Pelletfeuerungen). Zur Vermeidung von Härtefällen und für Anlagen bei denen eine nachgeschaltete Einrichtung zur Reduzierung der Staubbelastung nach dem Stand der Technik installiert wurde, können auf Antrag Ausnahmegenehmigungen erteilt werden. Diese sind von der Unteren Immissionsschutzbehörde zu bearbeiten</w:t>
      </w:r>
      <w:r w:rsidR="003D2188">
        <w:rPr>
          <w:noProof/>
          <w:szCs w:val="22"/>
        </w:rPr>
        <w:t>.</w:t>
      </w:r>
    </w:p>
    <w:p w:rsidR="009D135D" w:rsidRDefault="009D135D" w:rsidP="007B22BB">
      <w:pPr>
        <w:rPr>
          <w:noProof/>
          <w:szCs w:val="22"/>
        </w:rPr>
      </w:pPr>
    </w:p>
    <w:p w:rsidR="009D135D" w:rsidRPr="00C63416" w:rsidRDefault="009D135D" w:rsidP="007B22BB">
      <w:pPr>
        <w:rPr>
          <w:b/>
          <w:noProof/>
          <w:szCs w:val="22"/>
        </w:rPr>
      </w:pPr>
      <w:r w:rsidRPr="00C63416">
        <w:rPr>
          <w:b/>
          <w:noProof/>
          <w:szCs w:val="22"/>
        </w:rPr>
        <w:t>Überwachung des Betriebsverbots</w:t>
      </w:r>
    </w:p>
    <w:p w:rsidR="001A2805" w:rsidRDefault="001A2805" w:rsidP="001A2805">
      <w:pPr>
        <w:rPr>
          <w:noProof/>
          <w:szCs w:val="22"/>
        </w:rPr>
      </w:pPr>
      <w:r>
        <w:rPr>
          <w:noProof/>
          <w:szCs w:val="22"/>
        </w:rPr>
        <w:t xml:space="preserve">Die Überwachung der Einhaltung des Betriebsverbots erfolgt durch stichprobenartige Vor-Ort-Kontrollen, bei denen die Bürger und Bürgerinnen über den Regelungsinhalt der Verordnung zu unterrichten sind. Bedingt durch die regelmäßigen Betriebszeiten der Komfortkamine sind diese Vor-Ort-Kontrollen am späten Nachmittag und Abend, an Wochenenden und Feiertagen erforderlich. Planungsgrundlage für die Überwachung sind die Informationen aus den Kehrbüchern der Bezirksschornsteinfeger/-innen. </w:t>
      </w:r>
    </w:p>
    <w:p w:rsidR="001A2805" w:rsidRDefault="001A2805" w:rsidP="001A2805">
      <w:pPr>
        <w:rPr>
          <w:noProof/>
          <w:szCs w:val="22"/>
        </w:rPr>
      </w:pPr>
    </w:p>
    <w:p w:rsidR="001A2805" w:rsidRDefault="001A2805" w:rsidP="001A2805">
      <w:pPr>
        <w:rPr>
          <w:noProof/>
          <w:szCs w:val="22"/>
        </w:rPr>
      </w:pPr>
      <w:r>
        <w:rPr>
          <w:noProof/>
          <w:szCs w:val="22"/>
        </w:rPr>
        <w:t xml:space="preserve">Für die Vor-Ort-Kontrollen werden geringfügig Beschäftigte eingestellt, siehe </w:t>
      </w:r>
      <w:r w:rsidRPr="003D2188">
        <w:rPr>
          <w:noProof/>
          <w:szCs w:val="22"/>
        </w:rPr>
        <w:t xml:space="preserve">Anlage </w:t>
      </w:r>
      <w:r w:rsidR="003D2188" w:rsidRPr="003D2188">
        <w:rPr>
          <w:noProof/>
          <w:szCs w:val="22"/>
        </w:rPr>
        <w:t>8</w:t>
      </w:r>
      <w:r w:rsidRPr="003D2188">
        <w:rPr>
          <w:noProof/>
          <w:szCs w:val="22"/>
        </w:rPr>
        <w:t xml:space="preserve"> d</w:t>
      </w:r>
      <w:r w:rsidR="003D2188" w:rsidRPr="003D2188">
        <w:rPr>
          <w:noProof/>
          <w:szCs w:val="22"/>
        </w:rPr>
        <w:t>ieser</w:t>
      </w:r>
      <w:r w:rsidRPr="003D2188">
        <w:rPr>
          <w:noProof/>
          <w:szCs w:val="22"/>
        </w:rPr>
        <w:t xml:space="preserve"> GRDrs.</w:t>
      </w:r>
    </w:p>
    <w:p w:rsidR="001A2805" w:rsidRDefault="001A2805" w:rsidP="007B22BB">
      <w:pPr>
        <w:rPr>
          <w:noProof/>
          <w:szCs w:val="22"/>
        </w:rPr>
      </w:pPr>
    </w:p>
    <w:p w:rsidR="001A2805" w:rsidRDefault="001A2805" w:rsidP="007B22BB">
      <w:pPr>
        <w:rPr>
          <w:noProof/>
          <w:szCs w:val="22"/>
        </w:rPr>
      </w:pPr>
      <w:r>
        <w:rPr>
          <w:noProof/>
          <w:szCs w:val="22"/>
        </w:rPr>
        <w:t>Der Einsatz dieser Mitarbeiter/-innen ist von der 0,5 Stelle zu koordinieren.</w:t>
      </w:r>
    </w:p>
    <w:p w:rsidR="007B22BB" w:rsidRDefault="007B22BB" w:rsidP="00884D6C">
      <w:pPr>
        <w:rPr>
          <w:noProof/>
          <w:szCs w:val="22"/>
        </w:rPr>
      </w:pP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1B0DDA" w:rsidP="00884D6C">
      <w:r>
        <w:t>Die Aufgaben ist neu und wurde bisher nicht wahrgenommen. Sie wird dem Aufgabenbereich „Schornsteinfegerwesen“ zugeordnet. Dort sind 2,0 Stellen vorhanden. Diese sind ausgelastet und können die zusätzlichen Aufgaben nicht übernehmen.</w:t>
      </w:r>
    </w:p>
    <w:p w:rsidR="00DB1169" w:rsidRDefault="00DB1169" w:rsidP="00884D6C"/>
    <w:p w:rsidR="003D7B0B" w:rsidRDefault="006E0575" w:rsidP="00884D6C">
      <w:pPr>
        <w:pStyle w:val="berschrift2"/>
      </w:pPr>
      <w:r>
        <w:lastRenderedPageBreak/>
        <w:t>3.3</w:t>
      </w:r>
      <w:r w:rsidR="003D7B0B">
        <w:tab/>
        <w:t>Auswirkungen bei Ablehnung der Stellenschaffungen</w:t>
      </w:r>
    </w:p>
    <w:p w:rsidR="003D7B0B" w:rsidRDefault="003D7B0B" w:rsidP="00884D6C"/>
    <w:p w:rsidR="001B0DDA" w:rsidRDefault="000B5E5A" w:rsidP="00884D6C">
      <w:r>
        <w:t xml:space="preserve">Die Verordnung </w:t>
      </w:r>
      <w:r w:rsidR="001B0DDA">
        <w:t xml:space="preserve">könnte </w:t>
      </w:r>
      <w:r>
        <w:t>nicht umge</w:t>
      </w:r>
      <w:r w:rsidR="006C289C">
        <w:t xml:space="preserve">setzt werden. </w:t>
      </w:r>
      <w:r w:rsidR="001B0DDA">
        <w:t>Können die vorgesehenen Ausnahmegenehmigungen mangels Personal nicht erteilt werden, wird die Bevölkerung die Verordnung nicht akzeptieren. Des Weiteren könnte der Einsatz des Überwachungspersonals nicht koordiniert werden.</w:t>
      </w:r>
    </w:p>
    <w:p w:rsidR="003D7B0B" w:rsidRDefault="00884D6C" w:rsidP="00884D6C">
      <w:pPr>
        <w:pStyle w:val="berschrift1"/>
      </w:pPr>
      <w:r>
        <w:t>4</w:t>
      </w:r>
      <w:r>
        <w:tab/>
      </w:r>
      <w:r w:rsidR="003D7B0B">
        <w:t>Stellenvermerke</w:t>
      </w:r>
    </w:p>
    <w:p w:rsidR="003D7B0B" w:rsidRDefault="003D7B0B" w:rsidP="00884D6C"/>
    <w:p w:rsidR="006E0575" w:rsidRDefault="00022CB0" w:rsidP="00884D6C">
      <w:r>
        <w:t xml:space="preserve">Da verlässliche Prognosen </w:t>
      </w:r>
      <w:r w:rsidR="003D2188">
        <w:t xml:space="preserve">zur Anzahl der beantragten Ausnahmegenehmigungen </w:t>
      </w:r>
      <w:r>
        <w:t>nur eingeschränkt möglich sind, wird die Stelle mit KW-Vermerk 01/2019 versehen. Im Sommer 2018 sind die Fallzahlen zu prüfen und über den weiteren Bedarf ist erneut zu entscheiden.</w:t>
      </w:r>
    </w:p>
    <w:sectPr w:rsidR="006E0575"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FB" w:rsidRDefault="00835CFB">
      <w:r>
        <w:separator/>
      </w:r>
    </w:p>
  </w:endnote>
  <w:endnote w:type="continuationSeparator" w:id="0">
    <w:p w:rsidR="00835CFB" w:rsidRDefault="0083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FB" w:rsidRDefault="00835CFB">
      <w:r>
        <w:separator/>
      </w:r>
    </w:p>
  </w:footnote>
  <w:footnote w:type="continuationSeparator" w:id="0">
    <w:p w:rsidR="00835CFB" w:rsidRDefault="0083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FB" w:rsidRDefault="00835CFB">
    <w:pPr>
      <w:framePr w:wrap="around" w:vAnchor="page" w:hAnchor="page" w:xAlign="center" w:y="710"/>
      <w:rPr>
        <w:rStyle w:val="Seitenzahl"/>
      </w:rPr>
    </w:pPr>
    <w:r>
      <w:rPr>
        <w:rStyle w:val="Seitenzahl"/>
      </w:rPr>
      <w:t xml:space="preserve">- </w:t>
    </w:r>
    <w:r w:rsidR="00580F8A">
      <w:rPr>
        <w:rStyle w:val="Seitenzahl"/>
      </w:rPr>
      <w:fldChar w:fldCharType="begin"/>
    </w:r>
    <w:r>
      <w:rPr>
        <w:rStyle w:val="Seitenzahl"/>
      </w:rPr>
      <w:instrText xml:space="preserve"> PAGE </w:instrText>
    </w:r>
    <w:r w:rsidR="00580F8A">
      <w:rPr>
        <w:rStyle w:val="Seitenzahl"/>
      </w:rPr>
      <w:fldChar w:fldCharType="separate"/>
    </w:r>
    <w:r w:rsidR="004A7BC7">
      <w:rPr>
        <w:rStyle w:val="Seitenzahl"/>
        <w:noProof/>
      </w:rPr>
      <w:t>2</w:t>
    </w:r>
    <w:r w:rsidR="00580F8A">
      <w:rPr>
        <w:rStyle w:val="Seitenzahl"/>
      </w:rPr>
      <w:fldChar w:fldCharType="end"/>
    </w:r>
    <w:r>
      <w:rPr>
        <w:rStyle w:val="Seitenzahl"/>
      </w:rPr>
      <w:t xml:space="preserve"> -</w:t>
    </w:r>
  </w:p>
  <w:p w:rsidR="00835CFB" w:rsidRDefault="00835C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155AB"/>
    <w:rsid w:val="000211CC"/>
    <w:rsid w:val="00022CB0"/>
    <w:rsid w:val="000A1146"/>
    <w:rsid w:val="000B5E5A"/>
    <w:rsid w:val="000F1947"/>
    <w:rsid w:val="000F4DFD"/>
    <w:rsid w:val="0011112B"/>
    <w:rsid w:val="0014415D"/>
    <w:rsid w:val="00154A9C"/>
    <w:rsid w:val="00163034"/>
    <w:rsid w:val="00165C0D"/>
    <w:rsid w:val="00181857"/>
    <w:rsid w:val="00184EDC"/>
    <w:rsid w:val="001857C4"/>
    <w:rsid w:val="00194770"/>
    <w:rsid w:val="001A2805"/>
    <w:rsid w:val="001A5F9B"/>
    <w:rsid w:val="001A6F03"/>
    <w:rsid w:val="001B0DDA"/>
    <w:rsid w:val="001D2082"/>
    <w:rsid w:val="001F7237"/>
    <w:rsid w:val="0023581E"/>
    <w:rsid w:val="00263875"/>
    <w:rsid w:val="002779E3"/>
    <w:rsid w:val="002924CB"/>
    <w:rsid w:val="002A20D1"/>
    <w:rsid w:val="002B4179"/>
    <w:rsid w:val="002B5955"/>
    <w:rsid w:val="00331C4B"/>
    <w:rsid w:val="00341F1E"/>
    <w:rsid w:val="00343108"/>
    <w:rsid w:val="003520F9"/>
    <w:rsid w:val="00380937"/>
    <w:rsid w:val="00385EFA"/>
    <w:rsid w:val="00386801"/>
    <w:rsid w:val="00390854"/>
    <w:rsid w:val="003D2188"/>
    <w:rsid w:val="003D7B0B"/>
    <w:rsid w:val="003F14BC"/>
    <w:rsid w:val="00400A2B"/>
    <w:rsid w:val="004101C6"/>
    <w:rsid w:val="004405B3"/>
    <w:rsid w:val="00470135"/>
    <w:rsid w:val="0047606A"/>
    <w:rsid w:val="00480CF7"/>
    <w:rsid w:val="00487419"/>
    <w:rsid w:val="004908B5"/>
    <w:rsid w:val="0049121B"/>
    <w:rsid w:val="004A1688"/>
    <w:rsid w:val="004A7BC7"/>
    <w:rsid w:val="004B6796"/>
    <w:rsid w:val="004E1A7E"/>
    <w:rsid w:val="005052AA"/>
    <w:rsid w:val="00566E97"/>
    <w:rsid w:val="005768E8"/>
    <w:rsid w:val="00580F8A"/>
    <w:rsid w:val="0058542D"/>
    <w:rsid w:val="005A0A9D"/>
    <w:rsid w:val="005A56AA"/>
    <w:rsid w:val="005D503C"/>
    <w:rsid w:val="005E19C6"/>
    <w:rsid w:val="005F5B3D"/>
    <w:rsid w:val="00606F80"/>
    <w:rsid w:val="006A7700"/>
    <w:rsid w:val="006B6D50"/>
    <w:rsid w:val="006C289C"/>
    <w:rsid w:val="006D7791"/>
    <w:rsid w:val="006E0575"/>
    <w:rsid w:val="00743F45"/>
    <w:rsid w:val="00754659"/>
    <w:rsid w:val="007A29E4"/>
    <w:rsid w:val="007A49B6"/>
    <w:rsid w:val="007B22BB"/>
    <w:rsid w:val="007E3B79"/>
    <w:rsid w:val="008002C8"/>
    <w:rsid w:val="008066EE"/>
    <w:rsid w:val="00817BB6"/>
    <w:rsid w:val="00822879"/>
    <w:rsid w:val="00835CFB"/>
    <w:rsid w:val="0087427E"/>
    <w:rsid w:val="008756D9"/>
    <w:rsid w:val="00884D6C"/>
    <w:rsid w:val="008A6853"/>
    <w:rsid w:val="008D17D4"/>
    <w:rsid w:val="008D6CFE"/>
    <w:rsid w:val="00906404"/>
    <w:rsid w:val="00946AA7"/>
    <w:rsid w:val="00955940"/>
    <w:rsid w:val="00976588"/>
    <w:rsid w:val="009869A5"/>
    <w:rsid w:val="009932D5"/>
    <w:rsid w:val="009D135D"/>
    <w:rsid w:val="00A14D42"/>
    <w:rsid w:val="00A27CA7"/>
    <w:rsid w:val="00A42DFC"/>
    <w:rsid w:val="00A4343C"/>
    <w:rsid w:val="00A71D0A"/>
    <w:rsid w:val="00A77F1E"/>
    <w:rsid w:val="00A94998"/>
    <w:rsid w:val="00AA0361"/>
    <w:rsid w:val="00AB32AC"/>
    <w:rsid w:val="00B04290"/>
    <w:rsid w:val="00B11187"/>
    <w:rsid w:val="00B40E94"/>
    <w:rsid w:val="00B47EE6"/>
    <w:rsid w:val="00B759CB"/>
    <w:rsid w:val="00B80DEF"/>
    <w:rsid w:val="00BA4DF3"/>
    <w:rsid w:val="00BC4669"/>
    <w:rsid w:val="00BF2B95"/>
    <w:rsid w:val="00C0259D"/>
    <w:rsid w:val="00C11B9E"/>
    <w:rsid w:val="00C16BC3"/>
    <w:rsid w:val="00C16EF1"/>
    <w:rsid w:val="00C40823"/>
    <w:rsid w:val="00C448D3"/>
    <w:rsid w:val="00C63416"/>
    <w:rsid w:val="00C656DB"/>
    <w:rsid w:val="00C939F3"/>
    <w:rsid w:val="00CD1368"/>
    <w:rsid w:val="00CD2BEE"/>
    <w:rsid w:val="00D0634B"/>
    <w:rsid w:val="00D461B9"/>
    <w:rsid w:val="00D47444"/>
    <w:rsid w:val="00D87391"/>
    <w:rsid w:val="00DB1169"/>
    <w:rsid w:val="00DB3672"/>
    <w:rsid w:val="00DB3D6C"/>
    <w:rsid w:val="00DB51D4"/>
    <w:rsid w:val="00E014B6"/>
    <w:rsid w:val="00E1162F"/>
    <w:rsid w:val="00E11D5F"/>
    <w:rsid w:val="00E20E1F"/>
    <w:rsid w:val="00E25EE1"/>
    <w:rsid w:val="00E400C5"/>
    <w:rsid w:val="00E419A9"/>
    <w:rsid w:val="00E62631"/>
    <w:rsid w:val="00E6410D"/>
    <w:rsid w:val="00E7118F"/>
    <w:rsid w:val="00ED2CC0"/>
    <w:rsid w:val="00EE2F03"/>
    <w:rsid w:val="00EF6EB7"/>
    <w:rsid w:val="00F27598"/>
    <w:rsid w:val="00F27657"/>
    <w:rsid w:val="00F27A4C"/>
    <w:rsid w:val="00F342DC"/>
    <w:rsid w:val="00F3667C"/>
    <w:rsid w:val="00F3716C"/>
    <w:rsid w:val="00F63041"/>
    <w:rsid w:val="00F76452"/>
    <w:rsid w:val="00F906D1"/>
    <w:rsid w:val="00F95981"/>
    <w:rsid w:val="00FA2EA2"/>
    <w:rsid w:val="00FA36E5"/>
    <w:rsid w:val="00FD6B46"/>
    <w:rsid w:val="00FE67EE"/>
    <w:rsid w:val="00FE7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EF884"/>
  <w15:docId w15:val="{97BF4940-690A-45FD-9484-53B709EA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32D5"/>
    <w:pPr>
      <w:keepNext/>
      <w:spacing w:before="240" w:after="60"/>
      <w:outlineLvl w:val="2"/>
    </w:pPr>
    <w:rPr>
      <w:b/>
    </w:rPr>
  </w:style>
  <w:style w:type="paragraph" w:styleId="berschrift4">
    <w:name w:val="heading 4"/>
    <w:basedOn w:val="Standard"/>
    <w:next w:val="Standard"/>
    <w:qFormat/>
    <w:rsid w:val="009932D5"/>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32D5"/>
    <w:rPr>
      <w:sz w:val="16"/>
    </w:rPr>
  </w:style>
  <w:style w:type="paragraph" w:styleId="Kommentartext">
    <w:name w:val="annotation text"/>
    <w:basedOn w:val="Standard"/>
    <w:semiHidden/>
    <w:rsid w:val="009932D5"/>
    <w:rPr>
      <w:sz w:val="20"/>
    </w:rPr>
  </w:style>
  <w:style w:type="paragraph" w:styleId="Fuzeile">
    <w:name w:val="footer"/>
    <w:basedOn w:val="Standard"/>
    <w:rsid w:val="009932D5"/>
    <w:pPr>
      <w:tabs>
        <w:tab w:val="center" w:pos="4819"/>
        <w:tab w:val="right" w:pos="9071"/>
      </w:tabs>
    </w:pPr>
  </w:style>
  <w:style w:type="paragraph" w:styleId="Kopfzeile">
    <w:name w:val="header"/>
    <w:basedOn w:val="Standard"/>
    <w:rsid w:val="009932D5"/>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B9FDC-1E21-44C6-9BD5-6A8B05A6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26D327A4.dotm</Template>
  <TotalTime>0</TotalTime>
  <Pages>3</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18</cp:revision>
  <cp:lastPrinted>2017-09-18T14:25:00Z</cp:lastPrinted>
  <dcterms:created xsi:type="dcterms:W3CDTF">2017-01-17T13:46:00Z</dcterms:created>
  <dcterms:modified xsi:type="dcterms:W3CDTF">2017-09-18T14:25:00Z</dcterms:modified>
</cp:coreProperties>
</file>