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C625E">
        <w:rPr>
          <w:szCs w:val="24"/>
        </w:rPr>
        <w:t>18</w:t>
      </w:r>
      <w:r w:rsidRPr="006E0575">
        <w:rPr>
          <w:szCs w:val="24"/>
        </w:rPr>
        <w:t xml:space="preserve"> zur </w:t>
      </w:r>
      <w:proofErr w:type="spellStart"/>
      <w:r w:rsidRPr="006E0575">
        <w:rPr>
          <w:szCs w:val="24"/>
        </w:rPr>
        <w:t>GRDrs</w:t>
      </w:r>
      <w:proofErr w:type="spellEnd"/>
      <w:r w:rsidRPr="006E0575">
        <w:rPr>
          <w:szCs w:val="24"/>
        </w:rPr>
        <w:t xml:space="preserve"> </w:t>
      </w:r>
      <w:r w:rsidR="00830C0E">
        <w:rPr>
          <w:szCs w:val="24"/>
        </w:rPr>
        <w:t>828</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A1429" w:rsidRDefault="005A1429" w:rsidP="005A1429">
            <w:pPr>
              <w:rPr>
                <w:sz w:val="20"/>
              </w:rPr>
            </w:pPr>
            <w:r>
              <w:rPr>
                <w:sz w:val="20"/>
              </w:rPr>
              <w:t>34-1.1</w:t>
            </w:r>
          </w:p>
          <w:p w:rsidR="005A1429" w:rsidRDefault="005A1429" w:rsidP="005A1429">
            <w:pPr>
              <w:rPr>
                <w:sz w:val="20"/>
              </w:rPr>
            </w:pPr>
          </w:p>
          <w:p w:rsidR="005A1429" w:rsidRDefault="005A1429" w:rsidP="005A1429">
            <w:pPr>
              <w:rPr>
                <w:sz w:val="20"/>
              </w:rPr>
            </w:pPr>
            <w:r>
              <w:rPr>
                <w:sz w:val="20"/>
              </w:rPr>
              <w:t>34105100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5A1429" w:rsidP="006E0575">
            <w:pPr>
              <w:rPr>
                <w:sz w:val="20"/>
              </w:rPr>
            </w:pPr>
            <w:r>
              <w:rPr>
                <w:sz w:val="20"/>
              </w:rPr>
              <w:t>Standesamt</w:t>
            </w:r>
          </w:p>
        </w:tc>
        <w:tc>
          <w:tcPr>
            <w:tcW w:w="794" w:type="dxa"/>
          </w:tcPr>
          <w:p w:rsidR="005F5B3D" w:rsidRDefault="005F5B3D" w:rsidP="008A6853">
            <w:pPr>
              <w:rPr>
                <w:sz w:val="20"/>
              </w:rPr>
            </w:pPr>
          </w:p>
          <w:p w:rsidR="005F5B3D" w:rsidRPr="006E0575" w:rsidRDefault="00F230FC" w:rsidP="008A6853">
            <w:pPr>
              <w:rPr>
                <w:sz w:val="20"/>
              </w:rPr>
            </w:pPr>
            <w:r>
              <w:rPr>
                <w:sz w:val="20"/>
              </w:rPr>
              <w:t xml:space="preserve">A 9 </w:t>
            </w:r>
            <w:proofErr w:type="spellStart"/>
            <w:r>
              <w:rPr>
                <w:sz w:val="20"/>
              </w:rPr>
              <w:t>mD</w:t>
            </w:r>
            <w:proofErr w:type="spellEnd"/>
          </w:p>
        </w:tc>
        <w:tc>
          <w:tcPr>
            <w:tcW w:w="1928" w:type="dxa"/>
          </w:tcPr>
          <w:p w:rsidR="005F5B3D" w:rsidRDefault="005F5B3D" w:rsidP="006E0575">
            <w:pPr>
              <w:rPr>
                <w:sz w:val="20"/>
              </w:rPr>
            </w:pPr>
          </w:p>
          <w:p w:rsidR="005F5B3D" w:rsidRPr="006E0575" w:rsidRDefault="00F230FC" w:rsidP="006E0575">
            <w:pPr>
              <w:rPr>
                <w:sz w:val="20"/>
              </w:rPr>
            </w:pPr>
            <w:r>
              <w:rPr>
                <w:sz w:val="20"/>
              </w:rPr>
              <w:t>Standesbeamter/-in</w:t>
            </w:r>
          </w:p>
        </w:tc>
        <w:tc>
          <w:tcPr>
            <w:tcW w:w="737" w:type="dxa"/>
            <w:shd w:val="pct12" w:color="auto" w:fill="FFFFFF"/>
          </w:tcPr>
          <w:p w:rsidR="005F5B3D" w:rsidRDefault="005F5B3D" w:rsidP="008A6853">
            <w:pPr>
              <w:rPr>
                <w:sz w:val="20"/>
              </w:rPr>
            </w:pPr>
          </w:p>
          <w:p w:rsidR="005F5B3D" w:rsidRPr="006E0575" w:rsidRDefault="00F230FC" w:rsidP="008A6853">
            <w:pPr>
              <w:rPr>
                <w:sz w:val="20"/>
              </w:rPr>
            </w:pPr>
            <w:r>
              <w:rPr>
                <w:sz w:val="20"/>
              </w:rPr>
              <w:t>1,2</w:t>
            </w:r>
          </w:p>
        </w:tc>
        <w:tc>
          <w:tcPr>
            <w:tcW w:w="1134" w:type="dxa"/>
          </w:tcPr>
          <w:p w:rsidR="005F5B3D" w:rsidRDefault="005F5B3D" w:rsidP="006C625E">
            <w:pPr>
              <w:jc w:val="center"/>
              <w:rPr>
                <w:sz w:val="20"/>
              </w:rPr>
            </w:pPr>
          </w:p>
          <w:p w:rsidR="005F5B3D" w:rsidRPr="006E0575" w:rsidRDefault="00F230FC" w:rsidP="006C625E">
            <w:pPr>
              <w:jc w:val="center"/>
              <w:rPr>
                <w:sz w:val="20"/>
              </w:rPr>
            </w:pPr>
            <w:r>
              <w:rPr>
                <w:sz w:val="20"/>
              </w:rPr>
              <w:t>-</w:t>
            </w:r>
            <w:r w:rsidR="006C625E">
              <w:rPr>
                <w:sz w:val="20"/>
              </w:rPr>
              <w:t>-</w:t>
            </w:r>
          </w:p>
        </w:tc>
        <w:tc>
          <w:tcPr>
            <w:tcW w:w="1417" w:type="dxa"/>
          </w:tcPr>
          <w:p w:rsidR="005F5B3D" w:rsidRDefault="005F5B3D" w:rsidP="006C625E">
            <w:pPr>
              <w:jc w:val="center"/>
              <w:rPr>
                <w:sz w:val="20"/>
              </w:rPr>
            </w:pPr>
          </w:p>
          <w:p w:rsidR="005F5B3D" w:rsidRPr="006E0575" w:rsidRDefault="006C625E" w:rsidP="006C625E">
            <w:pPr>
              <w:jc w:val="center"/>
              <w:rPr>
                <w:sz w:val="20"/>
              </w:rPr>
            </w:pPr>
            <w:r>
              <w:rPr>
                <w:sz w:val="20"/>
              </w:rPr>
              <w:t>92.520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230FC" w:rsidRDefault="00F230FC" w:rsidP="00F230FC">
      <w:r>
        <w:t>Für das Sachgebiet Eheregister werden 1,2 Stellen in Besoldungsgruppe A 9mD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F230FC" w:rsidRDefault="00F230FC" w:rsidP="00F230FC">
      <w:r>
        <w:t>In den Jahren 2014 – 2016 ist eine Arbeitsvermehrung von über 20 % festzustellen.</w:t>
      </w:r>
    </w:p>
    <w:p w:rsidR="003D7B0B" w:rsidRDefault="003D7B0B" w:rsidP="00884D6C"/>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230FC" w:rsidRPr="00DA27D5" w:rsidRDefault="006C625E" w:rsidP="00F230FC">
      <w:pPr>
        <w:jc w:val="both"/>
        <w:rPr>
          <w:szCs w:val="24"/>
        </w:rPr>
      </w:pPr>
      <w:r>
        <w:rPr>
          <w:szCs w:val="24"/>
        </w:rPr>
        <w:t>I</w:t>
      </w:r>
      <w:r w:rsidR="00F230FC" w:rsidRPr="00DA27D5">
        <w:rPr>
          <w:szCs w:val="24"/>
        </w:rPr>
        <w:t xml:space="preserve">m Bereich Heiraten </w:t>
      </w:r>
      <w:r>
        <w:rPr>
          <w:szCs w:val="24"/>
        </w:rPr>
        <w:t xml:space="preserve">lässt sich </w:t>
      </w:r>
      <w:r w:rsidR="00F230FC" w:rsidRPr="00DA27D5">
        <w:rPr>
          <w:szCs w:val="24"/>
        </w:rPr>
        <w:t xml:space="preserve">eine Aufgabensteigerung von mehr als 20 % feststellen. Ein Vergleich der Jahre 2014 bis 2016 zeigt beispielsweise im Bereich der Anmeldungen der Eheschließung eine Steigerung um 24 %, die Auslandsbeteiligung wuchs um 74 %, im Bereich der Ausstellung von Ehefähigkeitszeugnissen beträgt der Zuwachs 27 %. Die Zahl der Nottrauungen (Eheschließungen/Begründungen von Lebenspartnerschaften bei lebensgefährlicher Erkrankung im Krankenhaus, zu Hause oder an anderen Orten) stieg auf das Sechsfache. 2017 zeichnen sich bereits weitere Steigerungen ab. </w:t>
      </w:r>
    </w:p>
    <w:p w:rsidR="00F230FC" w:rsidRPr="00DA27D5" w:rsidRDefault="00F230FC" w:rsidP="00F230FC">
      <w:pPr>
        <w:jc w:val="both"/>
        <w:rPr>
          <w:szCs w:val="24"/>
        </w:rPr>
      </w:pPr>
    </w:p>
    <w:p w:rsidR="00F230FC" w:rsidRPr="00DA27D5" w:rsidRDefault="00F230FC" w:rsidP="00F230FC">
      <w:pPr>
        <w:jc w:val="both"/>
        <w:rPr>
          <w:szCs w:val="24"/>
        </w:rPr>
      </w:pPr>
      <w:r w:rsidRPr="00DA27D5">
        <w:rPr>
          <w:szCs w:val="24"/>
        </w:rPr>
        <w:t>Im Einzelnen</w:t>
      </w:r>
      <w:r w:rsidR="00E47044">
        <w:rPr>
          <w:szCs w:val="24"/>
        </w:rPr>
        <w:t xml:space="preserve"> stellt sich die Arbeitsvermehrung folgendermaßen dar</w:t>
      </w:r>
      <w:r w:rsidRPr="00DA27D5">
        <w:rPr>
          <w:szCs w:val="24"/>
        </w:rPr>
        <w:t>:</w:t>
      </w:r>
    </w:p>
    <w:p w:rsidR="00F230FC" w:rsidRPr="00DA27D5" w:rsidRDefault="00F230FC" w:rsidP="00F230FC">
      <w:pPr>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388"/>
        <w:gridCol w:w="1134"/>
        <w:gridCol w:w="1134"/>
        <w:gridCol w:w="1588"/>
      </w:tblGrid>
      <w:tr w:rsidR="002364CD" w:rsidRPr="00DA27D5" w:rsidTr="00393A04">
        <w:tc>
          <w:tcPr>
            <w:tcW w:w="4390" w:type="dxa"/>
            <w:shd w:val="clear" w:color="auto" w:fill="A6A6A6" w:themeFill="background1" w:themeFillShade="A6"/>
          </w:tcPr>
          <w:p w:rsidR="00F230FC" w:rsidRPr="002364CD" w:rsidRDefault="002364CD" w:rsidP="00590C57">
            <w:pPr>
              <w:autoSpaceDE w:val="0"/>
              <w:autoSpaceDN w:val="0"/>
              <w:adjustRightInd w:val="0"/>
              <w:rPr>
                <w:rFonts w:cs="Arial"/>
                <w:b/>
                <w:color w:val="000000"/>
                <w:sz w:val="26"/>
                <w:szCs w:val="26"/>
              </w:rPr>
            </w:pPr>
            <w:r w:rsidRPr="002364CD">
              <w:rPr>
                <w:rFonts w:cs="Arial"/>
                <w:b/>
                <w:color w:val="000000"/>
                <w:sz w:val="26"/>
                <w:szCs w:val="26"/>
              </w:rPr>
              <w:t>Aufgabe</w:t>
            </w:r>
          </w:p>
        </w:tc>
        <w:tc>
          <w:tcPr>
            <w:tcW w:w="1388" w:type="dxa"/>
            <w:shd w:val="clear" w:color="auto" w:fill="A6A6A6" w:themeFill="background1" w:themeFillShade="A6"/>
          </w:tcPr>
          <w:p w:rsidR="00F230FC" w:rsidRPr="002364CD" w:rsidRDefault="00F230FC" w:rsidP="00590C57">
            <w:pPr>
              <w:autoSpaceDE w:val="0"/>
              <w:autoSpaceDN w:val="0"/>
              <w:adjustRightInd w:val="0"/>
              <w:jc w:val="center"/>
              <w:rPr>
                <w:rFonts w:cs="Arial"/>
                <w:b/>
                <w:color w:val="000000"/>
                <w:sz w:val="26"/>
                <w:szCs w:val="26"/>
              </w:rPr>
            </w:pPr>
            <w:r w:rsidRPr="002364CD">
              <w:rPr>
                <w:rFonts w:cs="Arial"/>
                <w:b/>
                <w:color w:val="000000"/>
                <w:sz w:val="26"/>
                <w:szCs w:val="26"/>
              </w:rPr>
              <w:t>2014</w:t>
            </w:r>
          </w:p>
        </w:tc>
        <w:tc>
          <w:tcPr>
            <w:tcW w:w="1134" w:type="dxa"/>
            <w:shd w:val="clear" w:color="auto" w:fill="A6A6A6" w:themeFill="background1" w:themeFillShade="A6"/>
          </w:tcPr>
          <w:p w:rsidR="00F230FC" w:rsidRPr="002364CD" w:rsidRDefault="00F230FC" w:rsidP="00590C57">
            <w:pPr>
              <w:autoSpaceDE w:val="0"/>
              <w:autoSpaceDN w:val="0"/>
              <w:adjustRightInd w:val="0"/>
              <w:jc w:val="center"/>
              <w:rPr>
                <w:rFonts w:cs="Arial"/>
                <w:b/>
                <w:color w:val="000000"/>
                <w:sz w:val="26"/>
                <w:szCs w:val="26"/>
              </w:rPr>
            </w:pPr>
            <w:r w:rsidRPr="002364CD">
              <w:rPr>
                <w:rFonts w:cs="Arial"/>
                <w:b/>
                <w:color w:val="000000"/>
                <w:sz w:val="26"/>
                <w:szCs w:val="26"/>
              </w:rPr>
              <w:t>2015</w:t>
            </w:r>
          </w:p>
        </w:tc>
        <w:tc>
          <w:tcPr>
            <w:tcW w:w="1134" w:type="dxa"/>
            <w:shd w:val="clear" w:color="auto" w:fill="A6A6A6" w:themeFill="background1" w:themeFillShade="A6"/>
          </w:tcPr>
          <w:p w:rsidR="00F230FC" w:rsidRPr="002364CD" w:rsidRDefault="00F230FC" w:rsidP="00590C57">
            <w:pPr>
              <w:autoSpaceDE w:val="0"/>
              <w:autoSpaceDN w:val="0"/>
              <w:adjustRightInd w:val="0"/>
              <w:jc w:val="center"/>
              <w:rPr>
                <w:rFonts w:cs="Arial"/>
                <w:b/>
                <w:color w:val="000000"/>
                <w:sz w:val="26"/>
                <w:szCs w:val="26"/>
              </w:rPr>
            </w:pPr>
            <w:r w:rsidRPr="002364CD">
              <w:rPr>
                <w:rFonts w:cs="Arial"/>
                <w:b/>
                <w:color w:val="000000"/>
                <w:sz w:val="26"/>
                <w:szCs w:val="26"/>
              </w:rPr>
              <w:t>2016</w:t>
            </w:r>
          </w:p>
        </w:tc>
        <w:tc>
          <w:tcPr>
            <w:tcW w:w="1588" w:type="dxa"/>
            <w:shd w:val="clear" w:color="auto" w:fill="A6A6A6" w:themeFill="background1" w:themeFillShade="A6"/>
          </w:tcPr>
          <w:p w:rsidR="00F230FC" w:rsidRPr="002364CD" w:rsidRDefault="00F230FC" w:rsidP="00590C57">
            <w:pPr>
              <w:autoSpaceDE w:val="0"/>
              <w:autoSpaceDN w:val="0"/>
              <w:adjustRightInd w:val="0"/>
              <w:jc w:val="center"/>
              <w:rPr>
                <w:rFonts w:cs="Arial"/>
                <w:b/>
                <w:color w:val="000000"/>
                <w:sz w:val="26"/>
                <w:szCs w:val="26"/>
              </w:rPr>
            </w:pPr>
            <w:r w:rsidRPr="002364CD">
              <w:rPr>
                <w:rFonts w:cs="Arial"/>
                <w:b/>
                <w:color w:val="000000"/>
                <w:sz w:val="26"/>
                <w:szCs w:val="26"/>
              </w:rPr>
              <w:t>Steigerung</w:t>
            </w:r>
          </w:p>
        </w:tc>
      </w:tr>
      <w:tr w:rsidR="00393A04" w:rsidRPr="00DA27D5" w:rsidTr="00393A04">
        <w:tc>
          <w:tcPr>
            <w:tcW w:w="4390" w:type="dxa"/>
            <w:shd w:val="clear" w:color="auto" w:fill="auto"/>
          </w:tcPr>
          <w:p w:rsidR="00F230FC" w:rsidRPr="00DA27D5" w:rsidRDefault="002364CD" w:rsidP="00590C57">
            <w:pPr>
              <w:autoSpaceDE w:val="0"/>
              <w:autoSpaceDN w:val="0"/>
              <w:adjustRightInd w:val="0"/>
              <w:rPr>
                <w:rFonts w:cs="Arial"/>
                <w:color w:val="000000"/>
                <w:szCs w:val="24"/>
              </w:rPr>
            </w:pPr>
            <w:r w:rsidRPr="00DA27D5">
              <w:rPr>
                <w:rFonts w:cs="Arial"/>
                <w:b/>
                <w:color w:val="000000"/>
                <w:szCs w:val="24"/>
              </w:rPr>
              <w:t>Anmeldung Eheschließung</w:t>
            </w:r>
          </w:p>
        </w:tc>
        <w:tc>
          <w:tcPr>
            <w:tcW w:w="1388"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1.127</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1.418</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1.402</w:t>
            </w:r>
          </w:p>
        </w:tc>
        <w:tc>
          <w:tcPr>
            <w:tcW w:w="1588"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+ 24 %</w:t>
            </w:r>
          </w:p>
        </w:tc>
      </w:tr>
      <w:tr w:rsidR="00393A04" w:rsidRPr="00DA27D5" w:rsidTr="00393A04">
        <w:tc>
          <w:tcPr>
            <w:tcW w:w="4390" w:type="dxa"/>
            <w:shd w:val="clear" w:color="auto" w:fill="auto"/>
          </w:tcPr>
          <w:p w:rsidR="00F230FC" w:rsidRPr="00DA27D5" w:rsidRDefault="00F230FC" w:rsidP="00590C57">
            <w:pPr>
              <w:autoSpaceDE w:val="0"/>
              <w:autoSpaceDN w:val="0"/>
              <w:adjustRightInd w:val="0"/>
              <w:rPr>
                <w:rFonts w:cs="Arial"/>
                <w:color w:val="000000"/>
                <w:szCs w:val="24"/>
              </w:rPr>
            </w:pPr>
            <w:r w:rsidRPr="00DA27D5">
              <w:rPr>
                <w:rFonts w:cs="Arial"/>
                <w:color w:val="000000"/>
                <w:szCs w:val="24"/>
              </w:rPr>
              <w:t>ausländische</w:t>
            </w:r>
            <w:r>
              <w:rPr>
                <w:rFonts w:cs="Arial"/>
                <w:color w:val="000000"/>
                <w:szCs w:val="24"/>
              </w:rPr>
              <w:t>s</w:t>
            </w:r>
            <w:r w:rsidRPr="00DA27D5">
              <w:rPr>
                <w:rFonts w:cs="Arial"/>
                <w:color w:val="000000"/>
                <w:szCs w:val="24"/>
              </w:rPr>
              <w:t xml:space="preserve"> Recht zu beachten</w:t>
            </w:r>
          </w:p>
        </w:tc>
        <w:tc>
          <w:tcPr>
            <w:tcW w:w="1388"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402</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524</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698</w:t>
            </w:r>
          </w:p>
        </w:tc>
        <w:tc>
          <w:tcPr>
            <w:tcW w:w="1588" w:type="dxa"/>
            <w:shd w:val="clear" w:color="auto" w:fill="auto"/>
          </w:tcPr>
          <w:p w:rsidR="00F230FC" w:rsidRPr="00DA27D5" w:rsidRDefault="00F230FC" w:rsidP="00590C57">
            <w:pPr>
              <w:autoSpaceDE w:val="0"/>
              <w:autoSpaceDN w:val="0"/>
              <w:adjustRightInd w:val="0"/>
              <w:jc w:val="center"/>
              <w:rPr>
                <w:rFonts w:cs="Arial"/>
                <w:color w:val="000000"/>
                <w:szCs w:val="24"/>
              </w:rPr>
            </w:pPr>
            <w:r w:rsidRPr="00DA27D5">
              <w:rPr>
                <w:rFonts w:cs="Arial"/>
                <w:color w:val="000000"/>
                <w:szCs w:val="24"/>
              </w:rPr>
              <w:t>+74 %</w:t>
            </w:r>
          </w:p>
        </w:tc>
      </w:tr>
      <w:tr w:rsidR="00F230FC" w:rsidRPr="00DA27D5" w:rsidTr="00393A04">
        <w:tc>
          <w:tcPr>
            <w:tcW w:w="4390" w:type="dxa"/>
            <w:shd w:val="clear" w:color="auto" w:fill="A6A6A6" w:themeFill="background1" w:themeFillShade="A6"/>
          </w:tcPr>
          <w:p w:rsidR="00F230FC" w:rsidRPr="00DA27D5" w:rsidRDefault="00F230FC" w:rsidP="00590C57">
            <w:pPr>
              <w:autoSpaceDE w:val="0"/>
              <w:autoSpaceDN w:val="0"/>
              <w:adjustRightInd w:val="0"/>
              <w:rPr>
                <w:rFonts w:cs="Arial"/>
                <w:b/>
                <w:color w:val="000000"/>
                <w:szCs w:val="24"/>
              </w:rPr>
            </w:pPr>
            <w:r w:rsidRPr="00DA27D5">
              <w:rPr>
                <w:rFonts w:cs="Arial"/>
                <w:b/>
                <w:color w:val="000000"/>
                <w:szCs w:val="24"/>
              </w:rPr>
              <w:t>Ermächtigungen von anderen Standesämtern</w:t>
            </w:r>
          </w:p>
        </w:tc>
        <w:tc>
          <w:tcPr>
            <w:tcW w:w="1388" w:type="dxa"/>
            <w:shd w:val="clear" w:color="auto" w:fill="A6A6A6" w:themeFill="background1" w:themeFillShade="A6"/>
          </w:tcPr>
          <w:p w:rsidR="00F230FC" w:rsidRPr="00DA27D5" w:rsidRDefault="002364CD" w:rsidP="002364CD">
            <w:pPr>
              <w:autoSpaceDE w:val="0"/>
              <w:autoSpaceDN w:val="0"/>
              <w:adjustRightInd w:val="0"/>
              <w:jc w:val="center"/>
              <w:rPr>
                <w:rFonts w:cs="Arial"/>
                <w:b/>
                <w:color w:val="000000"/>
                <w:szCs w:val="24"/>
              </w:rPr>
            </w:pPr>
            <w:r w:rsidRPr="00DA27D5">
              <w:rPr>
                <w:rFonts w:cs="Arial"/>
                <w:color w:val="000000"/>
                <w:szCs w:val="24"/>
              </w:rPr>
              <w:t>176</w:t>
            </w:r>
          </w:p>
        </w:tc>
        <w:tc>
          <w:tcPr>
            <w:tcW w:w="1134" w:type="dxa"/>
            <w:shd w:val="clear" w:color="auto" w:fill="A6A6A6" w:themeFill="background1" w:themeFillShade="A6"/>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184</w:t>
            </w:r>
          </w:p>
        </w:tc>
        <w:tc>
          <w:tcPr>
            <w:tcW w:w="1134" w:type="dxa"/>
            <w:shd w:val="clear" w:color="auto" w:fill="A6A6A6" w:themeFill="background1" w:themeFillShade="A6"/>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224</w:t>
            </w:r>
          </w:p>
        </w:tc>
        <w:tc>
          <w:tcPr>
            <w:tcW w:w="1588" w:type="dxa"/>
            <w:shd w:val="clear" w:color="auto" w:fill="A6A6A6" w:themeFill="background1" w:themeFillShade="A6"/>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+ 27 %</w:t>
            </w:r>
          </w:p>
        </w:tc>
      </w:tr>
      <w:tr w:rsidR="00F230FC" w:rsidRPr="00DA27D5" w:rsidTr="00393A04">
        <w:tc>
          <w:tcPr>
            <w:tcW w:w="4390" w:type="dxa"/>
            <w:shd w:val="clear" w:color="auto" w:fill="auto"/>
          </w:tcPr>
          <w:p w:rsidR="00F230FC" w:rsidRPr="00DA27D5" w:rsidRDefault="00F230FC" w:rsidP="00590C57">
            <w:pPr>
              <w:autoSpaceDE w:val="0"/>
              <w:autoSpaceDN w:val="0"/>
              <w:adjustRightInd w:val="0"/>
              <w:rPr>
                <w:rFonts w:cs="Arial"/>
                <w:b/>
                <w:color w:val="000000"/>
                <w:szCs w:val="24"/>
              </w:rPr>
            </w:pPr>
            <w:r w:rsidRPr="00DA27D5">
              <w:rPr>
                <w:rFonts w:cs="Arial"/>
                <w:b/>
                <w:color w:val="000000"/>
                <w:szCs w:val="24"/>
              </w:rPr>
              <w:t>Ermächtigungen an andere Standesämter</w:t>
            </w:r>
          </w:p>
        </w:tc>
        <w:tc>
          <w:tcPr>
            <w:tcW w:w="1388" w:type="dxa"/>
            <w:shd w:val="clear" w:color="auto" w:fill="auto"/>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400</w:t>
            </w:r>
          </w:p>
        </w:tc>
        <w:tc>
          <w:tcPr>
            <w:tcW w:w="1134" w:type="dxa"/>
            <w:shd w:val="clear" w:color="auto" w:fill="auto"/>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497</w:t>
            </w:r>
          </w:p>
        </w:tc>
        <w:tc>
          <w:tcPr>
            <w:tcW w:w="1134" w:type="dxa"/>
            <w:shd w:val="clear" w:color="auto" w:fill="auto"/>
          </w:tcPr>
          <w:p w:rsidR="00F230FC" w:rsidRPr="00DA27D5" w:rsidRDefault="002364CD" w:rsidP="002364CD">
            <w:pPr>
              <w:autoSpaceDE w:val="0"/>
              <w:autoSpaceDN w:val="0"/>
              <w:adjustRightInd w:val="0"/>
              <w:jc w:val="center"/>
              <w:rPr>
                <w:rFonts w:cs="Arial"/>
                <w:b/>
                <w:color w:val="000000"/>
                <w:szCs w:val="24"/>
              </w:rPr>
            </w:pPr>
            <w:r w:rsidRPr="00DA27D5">
              <w:rPr>
                <w:rFonts w:cs="Arial"/>
                <w:color w:val="000000"/>
                <w:szCs w:val="24"/>
              </w:rPr>
              <w:t>553</w:t>
            </w:r>
          </w:p>
        </w:tc>
        <w:tc>
          <w:tcPr>
            <w:tcW w:w="1588" w:type="dxa"/>
            <w:shd w:val="clear" w:color="auto" w:fill="auto"/>
          </w:tcPr>
          <w:p w:rsidR="00F230FC" w:rsidRPr="00DA27D5" w:rsidRDefault="002364CD" w:rsidP="00590C57">
            <w:pPr>
              <w:autoSpaceDE w:val="0"/>
              <w:autoSpaceDN w:val="0"/>
              <w:adjustRightInd w:val="0"/>
              <w:jc w:val="center"/>
              <w:rPr>
                <w:rFonts w:cs="Arial"/>
                <w:b/>
                <w:color w:val="000000"/>
                <w:szCs w:val="24"/>
              </w:rPr>
            </w:pPr>
            <w:r w:rsidRPr="00DA27D5">
              <w:rPr>
                <w:rFonts w:cs="Arial"/>
                <w:color w:val="000000"/>
                <w:szCs w:val="24"/>
              </w:rPr>
              <w:t>+ 38 %</w:t>
            </w:r>
          </w:p>
        </w:tc>
      </w:tr>
      <w:tr w:rsidR="00E47044" w:rsidRPr="00DA27D5" w:rsidTr="00393A04">
        <w:tc>
          <w:tcPr>
            <w:tcW w:w="4390" w:type="dxa"/>
            <w:shd w:val="clear" w:color="auto" w:fill="A6A6A6" w:themeFill="background1" w:themeFillShade="A6"/>
          </w:tcPr>
          <w:p w:rsidR="00E47044" w:rsidRPr="00DA27D5" w:rsidRDefault="008C7A8A" w:rsidP="00590C57">
            <w:pPr>
              <w:autoSpaceDE w:val="0"/>
              <w:autoSpaceDN w:val="0"/>
              <w:adjustRightInd w:val="0"/>
              <w:rPr>
                <w:rFonts w:cs="Arial"/>
                <w:b/>
                <w:color w:val="000000"/>
                <w:szCs w:val="24"/>
              </w:rPr>
            </w:pPr>
            <w:r w:rsidRPr="002364CD">
              <w:rPr>
                <w:rFonts w:cs="Arial"/>
                <w:b/>
                <w:color w:val="000000"/>
                <w:sz w:val="26"/>
                <w:szCs w:val="26"/>
              </w:rPr>
              <w:t>Aufgabe</w:t>
            </w:r>
          </w:p>
        </w:tc>
        <w:tc>
          <w:tcPr>
            <w:tcW w:w="1388" w:type="dxa"/>
            <w:shd w:val="clear" w:color="auto" w:fill="A6A6A6" w:themeFill="background1" w:themeFillShade="A6"/>
          </w:tcPr>
          <w:p w:rsidR="00E47044" w:rsidRPr="00DA27D5" w:rsidRDefault="008C7A8A" w:rsidP="00590C57">
            <w:pPr>
              <w:autoSpaceDE w:val="0"/>
              <w:autoSpaceDN w:val="0"/>
              <w:adjustRightInd w:val="0"/>
              <w:jc w:val="center"/>
              <w:rPr>
                <w:rFonts w:cs="Arial"/>
                <w:color w:val="000000"/>
                <w:szCs w:val="24"/>
              </w:rPr>
            </w:pPr>
            <w:r w:rsidRPr="002364CD">
              <w:rPr>
                <w:rFonts w:cs="Arial"/>
                <w:b/>
                <w:color w:val="000000"/>
                <w:sz w:val="26"/>
                <w:szCs w:val="26"/>
              </w:rPr>
              <w:t>2014</w:t>
            </w:r>
          </w:p>
        </w:tc>
        <w:tc>
          <w:tcPr>
            <w:tcW w:w="1134" w:type="dxa"/>
            <w:shd w:val="clear" w:color="auto" w:fill="A6A6A6" w:themeFill="background1" w:themeFillShade="A6"/>
          </w:tcPr>
          <w:p w:rsidR="00E47044" w:rsidRPr="00DA27D5" w:rsidRDefault="008C7A8A" w:rsidP="00590C57">
            <w:pPr>
              <w:autoSpaceDE w:val="0"/>
              <w:autoSpaceDN w:val="0"/>
              <w:adjustRightInd w:val="0"/>
              <w:jc w:val="center"/>
              <w:rPr>
                <w:rFonts w:cs="Arial"/>
                <w:color w:val="000000"/>
                <w:szCs w:val="24"/>
              </w:rPr>
            </w:pPr>
            <w:r w:rsidRPr="002364CD">
              <w:rPr>
                <w:rFonts w:cs="Arial"/>
                <w:b/>
                <w:color w:val="000000"/>
                <w:sz w:val="26"/>
                <w:szCs w:val="26"/>
              </w:rPr>
              <w:t>2015</w:t>
            </w:r>
          </w:p>
        </w:tc>
        <w:tc>
          <w:tcPr>
            <w:tcW w:w="1134" w:type="dxa"/>
            <w:shd w:val="clear" w:color="auto" w:fill="A6A6A6" w:themeFill="background1" w:themeFillShade="A6"/>
          </w:tcPr>
          <w:p w:rsidR="00E47044" w:rsidRPr="00DA27D5" w:rsidRDefault="008C7A8A" w:rsidP="00590C57">
            <w:pPr>
              <w:autoSpaceDE w:val="0"/>
              <w:autoSpaceDN w:val="0"/>
              <w:adjustRightInd w:val="0"/>
              <w:jc w:val="center"/>
              <w:rPr>
                <w:rFonts w:cs="Arial"/>
                <w:color w:val="000000"/>
                <w:szCs w:val="24"/>
              </w:rPr>
            </w:pPr>
            <w:r w:rsidRPr="002364CD">
              <w:rPr>
                <w:rFonts w:cs="Arial"/>
                <w:b/>
                <w:color w:val="000000"/>
                <w:sz w:val="26"/>
                <w:szCs w:val="26"/>
              </w:rPr>
              <w:t>2016</w:t>
            </w:r>
          </w:p>
        </w:tc>
        <w:tc>
          <w:tcPr>
            <w:tcW w:w="1588" w:type="dxa"/>
            <w:shd w:val="clear" w:color="auto" w:fill="A6A6A6" w:themeFill="background1" w:themeFillShade="A6"/>
          </w:tcPr>
          <w:p w:rsidR="00E47044" w:rsidRPr="00DA27D5" w:rsidRDefault="008C7A8A" w:rsidP="00590C57">
            <w:pPr>
              <w:autoSpaceDE w:val="0"/>
              <w:autoSpaceDN w:val="0"/>
              <w:adjustRightInd w:val="0"/>
              <w:jc w:val="center"/>
              <w:rPr>
                <w:rFonts w:cs="Arial"/>
                <w:color w:val="000000"/>
                <w:szCs w:val="24"/>
              </w:rPr>
            </w:pPr>
            <w:r w:rsidRPr="002364CD">
              <w:rPr>
                <w:rFonts w:cs="Arial"/>
                <w:b/>
                <w:color w:val="000000"/>
                <w:sz w:val="26"/>
                <w:szCs w:val="26"/>
              </w:rPr>
              <w:t>Steigerung</w:t>
            </w:r>
          </w:p>
        </w:tc>
      </w:tr>
      <w:tr w:rsidR="00F230FC" w:rsidRPr="00DA27D5" w:rsidTr="00E47044">
        <w:tc>
          <w:tcPr>
            <w:tcW w:w="4390" w:type="dxa"/>
            <w:tcBorders>
              <w:bottom w:val="single" w:sz="4" w:space="0" w:color="auto"/>
            </w:tcBorders>
            <w:shd w:val="clear" w:color="auto" w:fill="auto"/>
          </w:tcPr>
          <w:p w:rsidR="00F230FC" w:rsidRPr="00DA27D5" w:rsidRDefault="00F230FC" w:rsidP="00590C57">
            <w:pPr>
              <w:autoSpaceDE w:val="0"/>
              <w:autoSpaceDN w:val="0"/>
              <w:adjustRightInd w:val="0"/>
              <w:rPr>
                <w:rFonts w:cs="Arial"/>
                <w:b/>
                <w:color w:val="000000"/>
                <w:szCs w:val="24"/>
              </w:rPr>
            </w:pPr>
            <w:r w:rsidRPr="00DA27D5">
              <w:rPr>
                <w:rFonts w:cs="Arial"/>
                <w:b/>
                <w:color w:val="000000"/>
                <w:szCs w:val="24"/>
              </w:rPr>
              <w:lastRenderedPageBreak/>
              <w:t>Ausstellung von Ehefähigkeitszeugnissen</w:t>
            </w:r>
          </w:p>
        </w:tc>
        <w:tc>
          <w:tcPr>
            <w:tcW w:w="1388" w:type="dxa"/>
            <w:tcBorders>
              <w:bottom w:val="single" w:sz="4" w:space="0" w:color="auto"/>
            </w:tcBorders>
            <w:shd w:val="clear" w:color="auto" w:fill="auto"/>
          </w:tcPr>
          <w:p w:rsidR="00F230FC" w:rsidRPr="00DA27D5" w:rsidRDefault="008C7A8A" w:rsidP="00590C57">
            <w:pPr>
              <w:autoSpaceDE w:val="0"/>
              <w:autoSpaceDN w:val="0"/>
              <w:adjustRightInd w:val="0"/>
              <w:jc w:val="center"/>
              <w:rPr>
                <w:rFonts w:cs="Arial"/>
                <w:b/>
                <w:color w:val="000000"/>
                <w:szCs w:val="24"/>
              </w:rPr>
            </w:pPr>
            <w:r w:rsidRPr="00DA27D5">
              <w:rPr>
                <w:rFonts w:cs="Arial"/>
                <w:color w:val="000000"/>
                <w:szCs w:val="24"/>
              </w:rPr>
              <w:t>79</w:t>
            </w:r>
          </w:p>
        </w:tc>
        <w:tc>
          <w:tcPr>
            <w:tcW w:w="1134" w:type="dxa"/>
            <w:tcBorders>
              <w:bottom w:val="single" w:sz="4" w:space="0" w:color="auto"/>
            </w:tcBorders>
            <w:shd w:val="clear" w:color="auto" w:fill="auto"/>
          </w:tcPr>
          <w:p w:rsidR="00F230FC" w:rsidRPr="00DA27D5" w:rsidRDefault="008C7A8A" w:rsidP="00590C57">
            <w:pPr>
              <w:autoSpaceDE w:val="0"/>
              <w:autoSpaceDN w:val="0"/>
              <w:adjustRightInd w:val="0"/>
              <w:jc w:val="center"/>
              <w:rPr>
                <w:rFonts w:cs="Arial"/>
                <w:b/>
                <w:color w:val="000000"/>
                <w:szCs w:val="24"/>
              </w:rPr>
            </w:pPr>
            <w:r w:rsidRPr="00DA27D5">
              <w:rPr>
                <w:rFonts w:cs="Arial"/>
                <w:color w:val="000000"/>
                <w:szCs w:val="24"/>
              </w:rPr>
              <w:t>85</w:t>
            </w:r>
          </w:p>
        </w:tc>
        <w:tc>
          <w:tcPr>
            <w:tcW w:w="1134" w:type="dxa"/>
            <w:tcBorders>
              <w:bottom w:val="single" w:sz="4" w:space="0" w:color="auto"/>
            </w:tcBorders>
            <w:shd w:val="clear" w:color="auto" w:fill="auto"/>
          </w:tcPr>
          <w:p w:rsidR="00F230FC" w:rsidRPr="00DA27D5" w:rsidRDefault="008C7A8A" w:rsidP="00590C57">
            <w:pPr>
              <w:autoSpaceDE w:val="0"/>
              <w:autoSpaceDN w:val="0"/>
              <w:adjustRightInd w:val="0"/>
              <w:jc w:val="center"/>
              <w:rPr>
                <w:rFonts w:cs="Arial"/>
                <w:b/>
                <w:color w:val="000000"/>
                <w:szCs w:val="24"/>
              </w:rPr>
            </w:pPr>
            <w:r w:rsidRPr="00DA27D5">
              <w:rPr>
                <w:rFonts w:cs="Arial"/>
                <w:color w:val="000000"/>
                <w:szCs w:val="24"/>
              </w:rPr>
              <w:t>95</w:t>
            </w:r>
          </w:p>
        </w:tc>
        <w:tc>
          <w:tcPr>
            <w:tcW w:w="1588" w:type="dxa"/>
            <w:tcBorders>
              <w:bottom w:val="single" w:sz="4" w:space="0" w:color="auto"/>
            </w:tcBorders>
            <w:shd w:val="clear" w:color="auto" w:fill="auto"/>
          </w:tcPr>
          <w:p w:rsidR="00F230FC" w:rsidRPr="00DA27D5" w:rsidRDefault="008C7A8A" w:rsidP="00590C57">
            <w:pPr>
              <w:autoSpaceDE w:val="0"/>
              <w:autoSpaceDN w:val="0"/>
              <w:adjustRightInd w:val="0"/>
              <w:jc w:val="center"/>
              <w:rPr>
                <w:rFonts w:cs="Arial"/>
                <w:b/>
                <w:color w:val="000000"/>
                <w:szCs w:val="24"/>
              </w:rPr>
            </w:pPr>
            <w:r w:rsidRPr="00DA27D5">
              <w:rPr>
                <w:rFonts w:cs="Arial"/>
                <w:color w:val="000000"/>
                <w:szCs w:val="24"/>
              </w:rPr>
              <w:t>+ 20 %</w:t>
            </w:r>
          </w:p>
        </w:tc>
      </w:tr>
      <w:tr w:rsidR="008C7A8A" w:rsidRPr="00DA27D5" w:rsidTr="004372F4">
        <w:tc>
          <w:tcPr>
            <w:tcW w:w="4390" w:type="dxa"/>
            <w:shd w:val="clear" w:color="auto" w:fill="BFBFBF" w:themeFill="background1" w:themeFillShade="BF"/>
          </w:tcPr>
          <w:p w:rsidR="008C7A8A" w:rsidRPr="00DA27D5" w:rsidRDefault="008C7A8A" w:rsidP="008C7A8A">
            <w:pPr>
              <w:autoSpaceDE w:val="0"/>
              <w:autoSpaceDN w:val="0"/>
              <w:adjustRightInd w:val="0"/>
              <w:rPr>
                <w:rFonts w:cs="Arial"/>
                <w:b/>
                <w:color w:val="000000"/>
                <w:szCs w:val="24"/>
              </w:rPr>
            </w:pPr>
            <w:r w:rsidRPr="00DA27D5">
              <w:rPr>
                <w:rFonts w:cs="Arial"/>
                <w:b/>
                <w:color w:val="000000"/>
                <w:szCs w:val="24"/>
              </w:rPr>
              <w:t>Vorlagen an OLG zur Befreiung von der Beibringung des Ehefähigkeitszeugnisses</w:t>
            </w:r>
          </w:p>
        </w:tc>
        <w:tc>
          <w:tcPr>
            <w:tcW w:w="13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141</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color w:val="000000"/>
                <w:szCs w:val="24"/>
              </w:rPr>
            </w:pPr>
            <w:r w:rsidRPr="00DA27D5">
              <w:rPr>
                <w:rFonts w:cs="Arial"/>
                <w:color w:val="000000"/>
                <w:szCs w:val="24"/>
              </w:rPr>
              <w:t>151</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173</w:t>
            </w:r>
          </w:p>
        </w:tc>
        <w:tc>
          <w:tcPr>
            <w:tcW w:w="15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+ 23 %</w:t>
            </w:r>
          </w:p>
        </w:tc>
      </w:tr>
      <w:tr w:rsidR="008C7A8A" w:rsidRPr="00DA27D5" w:rsidTr="00E47044">
        <w:tc>
          <w:tcPr>
            <w:tcW w:w="4390" w:type="dxa"/>
            <w:shd w:val="clear" w:color="auto" w:fill="auto"/>
          </w:tcPr>
          <w:p w:rsidR="008C7A8A" w:rsidRPr="00DA27D5" w:rsidRDefault="008C7A8A" w:rsidP="008C7A8A">
            <w:pPr>
              <w:autoSpaceDE w:val="0"/>
              <w:autoSpaceDN w:val="0"/>
              <w:adjustRightInd w:val="0"/>
              <w:rPr>
                <w:rFonts w:cs="Arial"/>
                <w:b/>
                <w:color w:val="000000"/>
                <w:szCs w:val="24"/>
              </w:rPr>
            </w:pPr>
            <w:r>
              <w:rPr>
                <w:rFonts w:cs="Arial"/>
                <w:b/>
                <w:color w:val="000000"/>
                <w:szCs w:val="24"/>
              </w:rPr>
              <w:t>Trauungen</w:t>
            </w:r>
          </w:p>
        </w:tc>
        <w:tc>
          <w:tcPr>
            <w:tcW w:w="1388" w:type="dxa"/>
            <w:shd w:val="clear" w:color="auto" w:fill="auto"/>
          </w:tcPr>
          <w:p w:rsidR="008C7A8A" w:rsidRPr="00DA27D5" w:rsidRDefault="008C7A8A" w:rsidP="008C7A8A">
            <w:pPr>
              <w:autoSpaceDE w:val="0"/>
              <w:autoSpaceDN w:val="0"/>
              <w:adjustRightInd w:val="0"/>
              <w:jc w:val="center"/>
              <w:rPr>
                <w:rFonts w:cs="Arial"/>
                <w:b/>
                <w:color w:val="000000"/>
                <w:szCs w:val="24"/>
              </w:rPr>
            </w:pPr>
            <w:r>
              <w:rPr>
                <w:rFonts w:cs="Arial"/>
                <w:color w:val="000000"/>
                <w:szCs w:val="24"/>
              </w:rPr>
              <w:t>1.042</w:t>
            </w:r>
          </w:p>
        </w:tc>
        <w:tc>
          <w:tcPr>
            <w:tcW w:w="1134" w:type="dxa"/>
            <w:shd w:val="clear" w:color="auto" w:fill="auto"/>
          </w:tcPr>
          <w:p w:rsidR="008C7A8A" w:rsidRPr="00DA27D5" w:rsidRDefault="008C7A8A" w:rsidP="008C7A8A">
            <w:pPr>
              <w:autoSpaceDE w:val="0"/>
              <w:autoSpaceDN w:val="0"/>
              <w:adjustRightInd w:val="0"/>
              <w:jc w:val="center"/>
              <w:rPr>
                <w:rFonts w:cs="Arial"/>
                <w:b/>
                <w:color w:val="000000"/>
                <w:szCs w:val="24"/>
              </w:rPr>
            </w:pPr>
            <w:r>
              <w:rPr>
                <w:rFonts w:cs="Arial"/>
                <w:color w:val="000000"/>
                <w:szCs w:val="24"/>
              </w:rPr>
              <w:t>1.054</w:t>
            </w:r>
          </w:p>
        </w:tc>
        <w:tc>
          <w:tcPr>
            <w:tcW w:w="1134" w:type="dxa"/>
            <w:shd w:val="clear" w:color="auto" w:fill="auto"/>
          </w:tcPr>
          <w:p w:rsidR="008C7A8A" w:rsidRPr="00DA27D5" w:rsidRDefault="008C7A8A" w:rsidP="008C7A8A">
            <w:pPr>
              <w:autoSpaceDE w:val="0"/>
              <w:autoSpaceDN w:val="0"/>
              <w:adjustRightInd w:val="0"/>
              <w:jc w:val="center"/>
              <w:rPr>
                <w:rFonts w:cs="Arial"/>
                <w:b/>
                <w:color w:val="000000"/>
                <w:szCs w:val="24"/>
              </w:rPr>
            </w:pPr>
            <w:r>
              <w:rPr>
                <w:rFonts w:cs="Arial"/>
                <w:color w:val="000000"/>
                <w:szCs w:val="24"/>
              </w:rPr>
              <w:t>1.070</w:t>
            </w:r>
          </w:p>
        </w:tc>
        <w:tc>
          <w:tcPr>
            <w:tcW w:w="1588" w:type="dxa"/>
            <w:shd w:val="clear" w:color="auto" w:fill="auto"/>
          </w:tcPr>
          <w:p w:rsidR="008C7A8A" w:rsidRPr="00DA27D5" w:rsidRDefault="008C7A8A" w:rsidP="008C7A8A">
            <w:pPr>
              <w:autoSpaceDE w:val="0"/>
              <w:autoSpaceDN w:val="0"/>
              <w:adjustRightInd w:val="0"/>
              <w:jc w:val="center"/>
              <w:rPr>
                <w:rFonts w:cs="Arial"/>
                <w:b/>
                <w:color w:val="000000"/>
                <w:szCs w:val="24"/>
              </w:rPr>
            </w:pPr>
            <w:r>
              <w:rPr>
                <w:rFonts w:cs="Arial"/>
                <w:color w:val="000000"/>
                <w:szCs w:val="24"/>
              </w:rPr>
              <w:t>+ 3 %</w:t>
            </w:r>
          </w:p>
        </w:tc>
      </w:tr>
      <w:tr w:rsidR="008C7A8A" w:rsidRPr="00DA27D5" w:rsidTr="004372F4">
        <w:tc>
          <w:tcPr>
            <w:tcW w:w="4390" w:type="dxa"/>
            <w:shd w:val="clear" w:color="auto" w:fill="BFBFBF" w:themeFill="background1" w:themeFillShade="BF"/>
          </w:tcPr>
          <w:p w:rsidR="008C7A8A" w:rsidRPr="00DA27D5" w:rsidRDefault="008C7A8A" w:rsidP="008C7A8A">
            <w:pPr>
              <w:autoSpaceDE w:val="0"/>
              <w:autoSpaceDN w:val="0"/>
              <w:adjustRightInd w:val="0"/>
              <w:rPr>
                <w:rFonts w:cs="Arial"/>
                <w:b/>
                <w:color w:val="000000"/>
                <w:szCs w:val="24"/>
              </w:rPr>
            </w:pPr>
            <w:r w:rsidRPr="00DA27D5">
              <w:rPr>
                <w:rFonts w:cs="Arial"/>
                <w:b/>
                <w:color w:val="000000"/>
                <w:szCs w:val="24"/>
              </w:rPr>
              <w:t>Samstagstrauungen</w:t>
            </w:r>
          </w:p>
        </w:tc>
        <w:tc>
          <w:tcPr>
            <w:tcW w:w="13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199</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257</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292</w:t>
            </w:r>
          </w:p>
        </w:tc>
        <w:tc>
          <w:tcPr>
            <w:tcW w:w="15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+ 47 %</w:t>
            </w:r>
          </w:p>
        </w:tc>
      </w:tr>
      <w:tr w:rsidR="008C7A8A" w:rsidRPr="00DA27D5" w:rsidTr="004372F4">
        <w:tc>
          <w:tcPr>
            <w:tcW w:w="4390" w:type="dxa"/>
            <w:tcBorders>
              <w:top w:val="single" w:sz="4" w:space="0" w:color="auto"/>
              <w:left w:val="single" w:sz="4" w:space="0" w:color="auto"/>
              <w:right w:val="single" w:sz="4" w:space="0" w:color="auto"/>
            </w:tcBorders>
            <w:shd w:val="clear" w:color="auto" w:fill="auto"/>
          </w:tcPr>
          <w:p w:rsidR="008C7A8A" w:rsidRPr="00DA27D5" w:rsidRDefault="008C7A8A" w:rsidP="008C7A8A">
            <w:pPr>
              <w:autoSpaceDE w:val="0"/>
              <w:autoSpaceDN w:val="0"/>
              <w:adjustRightInd w:val="0"/>
              <w:rPr>
                <w:rFonts w:cs="Arial"/>
                <w:b/>
                <w:color w:val="000000"/>
                <w:szCs w:val="24"/>
              </w:rPr>
            </w:pPr>
            <w:r w:rsidRPr="00DA27D5">
              <w:rPr>
                <w:rFonts w:cs="Arial"/>
                <w:b/>
                <w:color w:val="000000"/>
                <w:szCs w:val="24"/>
              </w:rPr>
              <w:t>Nottrauungen (bei lebensgefährlicher Erkrankung)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7A8A" w:rsidRPr="00DA27D5" w:rsidRDefault="008C7A8A" w:rsidP="008C7A8A">
            <w:pPr>
              <w:autoSpaceDE w:val="0"/>
              <w:autoSpaceDN w:val="0"/>
              <w:adjustRightInd w:val="0"/>
              <w:jc w:val="center"/>
              <w:rPr>
                <w:rFonts w:cs="Arial"/>
                <w:b/>
                <w:color w:val="000000"/>
                <w:szCs w:val="24"/>
              </w:rPr>
            </w:pPr>
            <w:r w:rsidRPr="00D033E8">
              <w:rPr>
                <w:rFonts w:cs="Arial"/>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7A8A" w:rsidRPr="00DA27D5" w:rsidRDefault="008C7A8A" w:rsidP="008C7A8A">
            <w:pPr>
              <w:autoSpaceDE w:val="0"/>
              <w:autoSpaceDN w:val="0"/>
              <w:adjustRightInd w:val="0"/>
              <w:jc w:val="center"/>
              <w:rPr>
                <w:rFonts w:cs="Arial"/>
                <w:b/>
                <w:color w:val="000000"/>
                <w:szCs w:val="24"/>
              </w:rPr>
            </w:pPr>
            <w:r w:rsidRPr="00D033E8">
              <w:rPr>
                <w:rFonts w:cs="Arial"/>
                <w:color w:val="000000"/>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7A8A" w:rsidRPr="00DA27D5" w:rsidRDefault="008C7A8A" w:rsidP="008C7A8A">
            <w:pPr>
              <w:autoSpaceDE w:val="0"/>
              <w:autoSpaceDN w:val="0"/>
              <w:adjustRightInd w:val="0"/>
              <w:jc w:val="center"/>
              <w:rPr>
                <w:rFonts w:cs="Arial"/>
                <w:b/>
                <w:color w:val="000000"/>
                <w:szCs w:val="24"/>
              </w:rPr>
            </w:pPr>
            <w:r w:rsidRPr="00D033E8">
              <w:rPr>
                <w:rFonts w:cs="Arial"/>
                <w:color w:val="000000"/>
                <w:szCs w:val="24"/>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C7A8A" w:rsidRPr="00DA27D5" w:rsidRDefault="008C7A8A" w:rsidP="008C7A8A">
            <w:pPr>
              <w:autoSpaceDE w:val="0"/>
              <w:autoSpaceDN w:val="0"/>
              <w:adjustRightInd w:val="0"/>
              <w:jc w:val="center"/>
              <w:rPr>
                <w:rFonts w:cs="Arial"/>
                <w:b/>
                <w:color w:val="000000"/>
                <w:szCs w:val="24"/>
              </w:rPr>
            </w:pPr>
            <w:r w:rsidRPr="00D033E8">
              <w:rPr>
                <w:rFonts w:cs="Arial"/>
                <w:color w:val="000000"/>
                <w:szCs w:val="24"/>
              </w:rPr>
              <w:t>+ 600 %</w:t>
            </w:r>
          </w:p>
        </w:tc>
      </w:tr>
      <w:tr w:rsidR="008C7A8A" w:rsidRPr="00DA27D5" w:rsidTr="004372F4">
        <w:tc>
          <w:tcPr>
            <w:tcW w:w="4390" w:type="dxa"/>
            <w:shd w:val="clear" w:color="auto" w:fill="BFBFBF" w:themeFill="background1" w:themeFillShade="BF"/>
          </w:tcPr>
          <w:p w:rsidR="008C7A8A" w:rsidRPr="00DA27D5" w:rsidRDefault="008C7A8A" w:rsidP="008C7A8A">
            <w:pPr>
              <w:autoSpaceDE w:val="0"/>
              <w:autoSpaceDN w:val="0"/>
              <w:adjustRightInd w:val="0"/>
              <w:rPr>
                <w:rFonts w:cs="Arial"/>
                <w:b/>
                <w:color w:val="000000"/>
                <w:szCs w:val="24"/>
              </w:rPr>
            </w:pPr>
            <w:r w:rsidRPr="00DA27D5">
              <w:rPr>
                <w:rFonts w:cs="Arial"/>
                <w:b/>
                <w:color w:val="000000"/>
                <w:szCs w:val="24"/>
              </w:rPr>
              <w:t>Überprüfungsverfahren ausländischer Urkunden</w:t>
            </w:r>
          </w:p>
        </w:tc>
        <w:tc>
          <w:tcPr>
            <w:tcW w:w="13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22</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26</w:t>
            </w:r>
          </w:p>
        </w:tc>
        <w:tc>
          <w:tcPr>
            <w:tcW w:w="1134"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28</w:t>
            </w:r>
          </w:p>
        </w:tc>
        <w:tc>
          <w:tcPr>
            <w:tcW w:w="1588" w:type="dxa"/>
            <w:shd w:val="clear" w:color="auto" w:fill="BFBFBF" w:themeFill="background1" w:themeFillShade="BF"/>
          </w:tcPr>
          <w:p w:rsidR="008C7A8A" w:rsidRPr="00DA27D5" w:rsidRDefault="008C7A8A" w:rsidP="008C7A8A">
            <w:pPr>
              <w:autoSpaceDE w:val="0"/>
              <w:autoSpaceDN w:val="0"/>
              <w:adjustRightInd w:val="0"/>
              <w:jc w:val="center"/>
              <w:rPr>
                <w:rFonts w:cs="Arial"/>
                <w:b/>
                <w:color w:val="000000"/>
                <w:szCs w:val="24"/>
              </w:rPr>
            </w:pPr>
            <w:r w:rsidRPr="00DA27D5">
              <w:rPr>
                <w:rFonts w:cs="Arial"/>
                <w:color w:val="000000"/>
                <w:szCs w:val="24"/>
              </w:rPr>
              <w:t>+ 27 %</w:t>
            </w:r>
          </w:p>
        </w:tc>
      </w:tr>
    </w:tbl>
    <w:p w:rsidR="00E47044" w:rsidRDefault="00E47044" w:rsidP="00F230FC">
      <w:pPr>
        <w:jc w:val="both"/>
        <w:rPr>
          <w:szCs w:val="24"/>
        </w:rPr>
      </w:pPr>
    </w:p>
    <w:p w:rsidR="00F230FC" w:rsidRDefault="004E324F" w:rsidP="00F230FC">
      <w:pPr>
        <w:jc w:val="both"/>
        <w:rPr>
          <w:szCs w:val="24"/>
        </w:rPr>
      </w:pPr>
      <w:r>
        <w:rPr>
          <w:szCs w:val="24"/>
        </w:rPr>
        <w:t>N</w:t>
      </w:r>
      <w:r w:rsidR="00F230FC">
        <w:rPr>
          <w:szCs w:val="24"/>
        </w:rPr>
        <w:t>achrichtlich</w:t>
      </w:r>
      <w:r>
        <w:rPr>
          <w:szCs w:val="24"/>
        </w:rPr>
        <w:t xml:space="preserve"> benannt</w:t>
      </w:r>
      <w:r w:rsidR="00F230FC">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388"/>
        <w:gridCol w:w="1134"/>
        <w:gridCol w:w="1134"/>
        <w:gridCol w:w="1588"/>
      </w:tblGrid>
      <w:tr w:rsidR="00F230FC" w:rsidRPr="00DA27D5" w:rsidTr="00FB0992">
        <w:tc>
          <w:tcPr>
            <w:tcW w:w="4390" w:type="dxa"/>
            <w:vMerge w:val="restart"/>
            <w:shd w:val="clear" w:color="auto" w:fill="auto"/>
          </w:tcPr>
          <w:p w:rsidR="00F230FC" w:rsidRPr="00DA27D5" w:rsidRDefault="00F230FC" w:rsidP="00590C57">
            <w:pPr>
              <w:autoSpaceDE w:val="0"/>
              <w:autoSpaceDN w:val="0"/>
              <w:adjustRightInd w:val="0"/>
              <w:rPr>
                <w:rFonts w:cs="Arial"/>
                <w:b/>
                <w:color w:val="000000"/>
                <w:szCs w:val="24"/>
              </w:rPr>
            </w:pPr>
            <w:r>
              <w:rPr>
                <w:rFonts w:cs="Arial"/>
                <w:b/>
                <w:color w:val="000000"/>
                <w:szCs w:val="24"/>
              </w:rPr>
              <w:t>Trauungen an Wunschorten</w:t>
            </w:r>
          </w:p>
        </w:tc>
        <w:tc>
          <w:tcPr>
            <w:tcW w:w="1388" w:type="dxa"/>
            <w:shd w:val="clear" w:color="auto" w:fill="auto"/>
          </w:tcPr>
          <w:p w:rsidR="00F230FC" w:rsidRPr="00DA27D5" w:rsidRDefault="00F230FC" w:rsidP="00590C57">
            <w:pPr>
              <w:autoSpaceDE w:val="0"/>
              <w:autoSpaceDN w:val="0"/>
              <w:adjustRightInd w:val="0"/>
              <w:jc w:val="center"/>
              <w:rPr>
                <w:rFonts w:cs="Arial"/>
                <w:b/>
                <w:color w:val="000000"/>
                <w:szCs w:val="24"/>
              </w:rPr>
            </w:pPr>
            <w:r w:rsidRPr="00DA27D5">
              <w:rPr>
                <w:rFonts w:cs="Arial"/>
                <w:b/>
                <w:color w:val="000000"/>
                <w:szCs w:val="24"/>
              </w:rPr>
              <w:t>2014</w:t>
            </w:r>
          </w:p>
        </w:tc>
        <w:tc>
          <w:tcPr>
            <w:tcW w:w="1134" w:type="dxa"/>
            <w:shd w:val="clear" w:color="auto" w:fill="auto"/>
          </w:tcPr>
          <w:p w:rsidR="00F230FC" w:rsidRPr="00DA27D5" w:rsidRDefault="00F230FC" w:rsidP="00590C57">
            <w:pPr>
              <w:autoSpaceDE w:val="0"/>
              <w:autoSpaceDN w:val="0"/>
              <w:adjustRightInd w:val="0"/>
              <w:jc w:val="center"/>
              <w:rPr>
                <w:rFonts w:cs="Arial"/>
                <w:b/>
                <w:color w:val="000000"/>
                <w:szCs w:val="24"/>
              </w:rPr>
            </w:pPr>
            <w:r w:rsidRPr="00DA27D5">
              <w:rPr>
                <w:rFonts w:cs="Arial"/>
                <w:b/>
                <w:color w:val="000000"/>
                <w:szCs w:val="24"/>
              </w:rPr>
              <w:t>2015</w:t>
            </w:r>
          </w:p>
        </w:tc>
        <w:tc>
          <w:tcPr>
            <w:tcW w:w="1134" w:type="dxa"/>
            <w:shd w:val="clear" w:color="auto" w:fill="auto"/>
          </w:tcPr>
          <w:p w:rsidR="00F230FC" w:rsidRPr="00DA27D5" w:rsidRDefault="00F230FC" w:rsidP="00590C57">
            <w:pPr>
              <w:autoSpaceDE w:val="0"/>
              <w:autoSpaceDN w:val="0"/>
              <w:adjustRightInd w:val="0"/>
              <w:jc w:val="center"/>
              <w:rPr>
                <w:rFonts w:cs="Arial"/>
                <w:b/>
                <w:color w:val="000000"/>
                <w:szCs w:val="24"/>
              </w:rPr>
            </w:pPr>
            <w:r w:rsidRPr="00DA27D5">
              <w:rPr>
                <w:rFonts w:cs="Arial"/>
                <w:b/>
                <w:color w:val="000000"/>
                <w:szCs w:val="24"/>
              </w:rPr>
              <w:t>2016</w:t>
            </w:r>
          </w:p>
        </w:tc>
        <w:tc>
          <w:tcPr>
            <w:tcW w:w="1588" w:type="dxa"/>
            <w:shd w:val="clear" w:color="auto" w:fill="auto"/>
          </w:tcPr>
          <w:p w:rsidR="00F230FC" w:rsidRPr="00DA27D5" w:rsidRDefault="00F230FC" w:rsidP="00590C57">
            <w:pPr>
              <w:autoSpaceDE w:val="0"/>
              <w:autoSpaceDN w:val="0"/>
              <w:adjustRightInd w:val="0"/>
              <w:jc w:val="center"/>
              <w:rPr>
                <w:rFonts w:cs="Arial"/>
                <w:b/>
                <w:color w:val="000000"/>
                <w:szCs w:val="24"/>
              </w:rPr>
            </w:pPr>
            <w:r w:rsidRPr="00DA27D5">
              <w:rPr>
                <w:rFonts w:cs="Arial"/>
                <w:b/>
                <w:color w:val="000000"/>
                <w:szCs w:val="24"/>
              </w:rPr>
              <w:t>Steigerung</w:t>
            </w:r>
          </w:p>
        </w:tc>
      </w:tr>
      <w:tr w:rsidR="00F230FC" w:rsidRPr="00DA27D5" w:rsidTr="00FB0992">
        <w:tc>
          <w:tcPr>
            <w:tcW w:w="4390" w:type="dxa"/>
            <w:vMerge/>
            <w:shd w:val="clear" w:color="auto" w:fill="auto"/>
          </w:tcPr>
          <w:p w:rsidR="00F230FC" w:rsidRPr="00DA27D5" w:rsidRDefault="00F230FC" w:rsidP="00590C57">
            <w:pPr>
              <w:autoSpaceDE w:val="0"/>
              <w:autoSpaceDN w:val="0"/>
              <w:adjustRightInd w:val="0"/>
              <w:rPr>
                <w:rFonts w:cs="Arial"/>
                <w:color w:val="000000"/>
                <w:szCs w:val="24"/>
              </w:rPr>
            </w:pPr>
          </w:p>
        </w:tc>
        <w:tc>
          <w:tcPr>
            <w:tcW w:w="1388" w:type="dxa"/>
            <w:shd w:val="clear" w:color="auto" w:fill="auto"/>
          </w:tcPr>
          <w:p w:rsidR="00F230FC" w:rsidRPr="00DA27D5" w:rsidRDefault="00F230FC" w:rsidP="00590C57">
            <w:pPr>
              <w:autoSpaceDE w:val="0"/>
              <w:autoSpaceDN w:val="0"/>
              <w:adjustRightInd w:val="0"/>
              <w:jc w:val="center"/>
              <w:rPr>
                <w:rFonts w:cs="Arial"/>
                <w:color w:val="000000"/>
                <w:szCs w:val="24"/>
              </w:rPr>
            </w:pPr>
            <w:r>
              <w:rPr>
                <w:rFonts w:cs="Arial"/>
                <w:color w:val="000000"/>
                <w:szCs w:val="24"/>
              </w:rPr>
              <w:t>189</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Pr>
                <w:rFonts w:cs="Arial"/>
                <w:color w:val="000000"/>
                <w:szCs w:val="24"/>
              </w:rPr>
              <w:t>208</w:t>
            </w:r>
          </w:p>
        </w:tc>
        <w:tc>
          <w:tcPr>
            <w:tcW w:w="1134" w:type="dxa"/>
            <w:shd w:val="clear" w:color="auto" w:fill="auto"/>
          </w:tcPr>
          <w:p w:rsidR="00F230FC" w:rsidRPr="00DA27D5" w:rsidRDefault="00F230FC" w:rsidP="00590C57">
            <w:pPr>
              <w:autoSpaceDE w:val="0"/>
              <w:autoSpaceDN w:val="0"/>
              <w:adjustRightInd w:val="0"/>
              <w:jc w:val="center"/>
              <w:rPr>
                <w:rFonts w:cs="Arial"/>
                <w:color w:val="000000"/>
                <w:szCs w:val="24"/>
              </w:rPr>
            </w:pPr>
            <w:r>
              <w:rPr>
                <w:rFonts w:cs="Arial"/>
                <w:color w:val="000000"/>
                <w:szCs w:val="24"/>
              </w:rPr>
              <w:t>238</w:t>
            </w:r>
          </w:p>
        </w:tc>
        <w:tc>
          <w:tcPr>
            <w:tcW w:w="1588" w:type="dxa"/>
            <w:shd w:val="clear" w:color="auto" w:fill="auto"/>
          </w:tcPr>
          <w:p w:rsidR="00F230FC" w:rsidRPr="00DA27D5" w:rsidRDefault="00F230FC" w:rsidP="00590C57">
            <w:pPr>
              <w:autoSpaceDE w:val="0"/>
              <w:autoSpaceDN w:val="0"/>
              <w:adjustRightInd w:val="0"/>
              <w:jc w:val="center"/>
              <w:rPr>
                <w:rFonts w:cs="Arial"/>
                <w:color w:val="000000"/>
                <w:szCs w:val="24"/>
              </w:rPr>
            </w:pPr>
            <w:r>
              <w:rPr>
                <w:rFonts w:cs="Arial"/>
                <w:color w:val="000000"/>
                <w:szCs w:val="24"/>
              </w:rPr>
              <w:t>+ 26 %</w:t>
            </w:r>
          </w:p>
        </w:tc>
      </w:tr>
    </w:tbl>
    <w:p w:rsidR="00F230FC" w:rsidRPr="00C53203" w:rsidRDefault="00F230FC" w:rsidP="00F230FC">
      <w:pPr>
        <w:autoSpaceDE w:val="0"/>
        <w:autoSpaceDN w:val="0"/>
        <w:adjustRightInd w:val="0"/>
        <w:jc w:val="both"/>
        <w:rPr>
          <w:rFonts w:cs="Arial"/>
          <w:color w:val="000000"/>
          <w:sz w:val="22"/>
          <w:szCs w:val="22"/>
        </w:rPr>
      </w:pPr>
      <w:r w:rsidRPr="00C53203">
        <w:rPr>
          <w:rFonts w:cs="Arial"/>
          <w:color w:val="000000"/>
          <w:sz w:val="22"/>
          <w:szCs w:val="22"/>
        </w:rPr>
        <w:t>Trauungen an Samstagen und auch an Wunschorten sind aufwändiger und zeitintensiver als Trauungen unter der Woche im Amt.</w:t>
      </w:r>
    </w:p>
    <w:p w:rsidR="00F230FC" w:rsidRDefault="00F230FC" w:rsidP="00F230FC">
      <w:pPr>
        <w:jc w:val="both"/>
        <w:rPr>
          <w:szCs w:val="24"/>
        </w:rPr>
      </w:pPr>
    </w:p>
    <w:p w:rsidR="00F230FC" w:rsidRPr="006C625E" w:rsidRDefault="00F230FC" w:rsidP="00F230FC">
      <w:pPr>
        <w:jc w:val="both"/>
        <w:rPr>
          <w:szCs w:val="24"/>
        </w:rPr>
      </w:pPr>
      <w:r w:rsidRPr="006C625E">
        <w:rPr>
          <w:szCs w:val="24"/>
        </w:rPr>
        <w:t xml:space="preserve">Insgesamt ist </w:t>
      </w:r>
      <w:r w:rsidR="004E324F" w:rsidRPr="006C625E">
        <w:rPr>
          <w:szCs w:val="24"/>
        </w:rPr>
        <w:t>aufgrund der Arbeitsvermehrung</w:t>
      </w:r>
      <w:r w:rsidRPr="006C625E">
        <w:rPr>
          <w:szCs w:val="24"/>
        </w:rPr>
        <w:t xml:space="preserve"> ein zusätzlicher Personalbedarf von 1,2 Stellen gegeben. </w:t>
      </w:r>
    </w:p>
    <w:p w:rsidR="00F230FC" w:rsidRDefault="00F230FC" w:rsidP="00F230FC">
      <w:pPr>
        <w:rPr>
          <w:szCs w:val="24"/>
        </w:rPr>
      </w:pPr>
    </w:p>
    <w:p w:rsidR="00F230FC" w:rsidRPr="006C625E" w:rsidRDefault="00F230FC" w:rsidP="00F230FC">
      <w:pPr>
        <w:autoSpaceDE w:val="0"/>
        <w:autoSpaceDN w:val="0"/>
        <w:adjustRightInd w:val="0"/>
        <w:rPr>
          <w:rFonts w:cs="Arial"/>
          <w:color w:val="000000"/>
          <w:szCs w:val="24"/>
        </w:rPr>
      </w:pPr>
      <w:r w:rsidRPr="006C625E">
        <w:rPr>
          <w:rFonts w:cs="Arial"/>
          <w:color w:val="000000"/>
          <w:szCs w:val="24"/>
        </w:rPr>
        <w:t>De</w:t>
      </w:r>
      <w:r w:rsidR="00E47044" w:rsidRPr="006C625E">
        <w:rPr>
          <w:rFonts w:cs="Arial"/>
          <w:color w:val="000000"/>
          <w:szCs w:val="24"/>
        </w:rPr>
        <w:t>r Arbeitsvermehrung steht</w:t>
      </w:r>
      <w:r w:rsidRPr="006C625E">
        <w:rPr>
          <w:rFonts w:cs="Arial"/>
          <w:color w:val="000000"/>
          <w:szCs w:val="24"/>
        </w:rPr>
        <w:t xml:space="preserve"> im Vergleichszeitraum 2014 bis 2016 eine Einnahmensteigerung (Gebühren) um 14 %, im Vergleichszeitraum 2014 bis 2017 (aufgrund Hochrechnung vom Ergebnis 30.6.2017 aus) um 38 %</w:t>
      </w:r>
      <w:r w:rsidR="00E47044" w:rsidRPr="006C625E">
        <w:rPr>
          <w:rFonts w:cs="Arial"/>
          <w:color w:val="000000"/>
          <w:szCs w:val="24"/>
        </w:rPr>
        <w:t xml:space="preserve"> gegenüber</w:t>
      </w:r>
      <w:r w:rsidRPr="006C625E">
        <w:rPr>
          <w:rFonts w:cs="Arial"/>
          <w:color w:val="000000"/>
          <w:szCs w:val="24"/>
        </w:rPr>
        <w:t>. Dabei ist zu beachten, dass ausgestellte Urkunden im SAP unter „Urkunden“ und nicht unter „Heiraten“ gebucht werden, hier also keine Berücksichtigung finden.</w:t>
      </w:r>
    </w:p>
    <w:p w:rsidR="00F230FC" w:rsidRPr="006C625E" w:rsidRDefault="00F230FC" w:rsidP="00F230FC">
      <w:pPr>
        <w:rPr>
          <w:szCs w:val="24"/>
        </w:rPr>
      </w:pPr>
    </w:p>
    <w:p w:rsidR="00F230FC" w:rsidRPr="006C625E" w:rsidRDefault="00F230FC" w:rsidP="00F230FC">
      <w:pPr>
        <w:rPr>
          <w:szCs w:val="24"/>
        </w:rPr>
      </w:pPr>
      <w:r w:rsidRPr="006C625E">
        <w:rPr>
          <w:szCs w:val="24"/>
        </w:rPr>
        <w:t>Darüber hinaus verursachen gesetzliche Neuregelungen, wie jüngst das Gesetz zur Einführung des Rechts auf Eheschließung für Personen gleichen Geschlechts („Ehe für alle“), das zum 1. Oktober 2017 in Kraft tritt, bereits jetzt Mehrarbeit, die derzeit aber noch nicht genau beziffert werden kann.</w:t>
      </w:r>
    </w:p>
    <w:p w:rsidR="003D7B0B" w:rsidRPr="00165C0D" w:rsidRDefault="003D7B0B" w:rsidP="00165C0D">
      <w:pPr>
        <w:pStyle w:val="berschrift2"/>
      </w:pPr>
      <w:r w:rsidRPr="00165C0D">
        <w:t>3.2</w:t>
      </w:r>
      <w:r w:rsidRPr="00165C0D">
        <w:tab/>
        <w:t>Bisherige Aufgabenwahrnehmung</w:t>
      </w:r>
    </w:p>
    <w:p w:rsidR="003D7B0B" w:rsidRDefault="003D7B0B" w:rsidP="00884D6C"/>
    <w:p w:rsidR="00F230FC" w:rsidRPr="001303B9" w:rsidRDefault="00F230FC" w:rsidP="00F230FC">
      <w:pPr>
        <w:rPr>
          <w:szCs w:val="24"/>
        </w:rPr>
      </w:pPr>
      <w:r w:rsidRPr="001303B9">
        <w:rPr>
          <w:szCs w:val="24"/>
        </w:rPr>
        <w:t>Für diese Aufgaben werden</w:t>
      </w:r>
      <w:r w:rsidR="001C0E04">
        <w:rPr>
          <w:szCs w:val="24"/>
        </w:rPr>
        <w:t xml:space="preserve"> bislang</w:t>
      </w:r>
      <w:r w:rsidRPr="001303B9">
        <w:rPr>
          <w:szCs w:val="24"/>
        </w:rPr>
        <w:t xml:space="preserve"> </w:t>
      </w:r>
      <w:r w:rsidR="001C0E04">
        <w:rPr>
          <w:szCs w:val="24"/>
        </w:rPr>
        <w:t>6,0</w:t>
      </w:r>
      <w:r w:rsidRPr="001303B9">
        <w:rPr>
          <w:szCs w:val="24"/>
        </w:rPr>
        <w:t xml:space="preserve"> Stellen eingesetzt.</w:t>
      </w:r>
      <w:r>
        <w:rPr>
          <w:szCs w:val="24"/>
        </w:rPr>
        <w:t xml:space="preserve"> Eine Abarbeitung der Fälle ist nur durch den besonderen Einsatz der Mitarbeiter/-innen unter Anhäufung von überdurchschnittlich hohen Überstunden möglich.</w:t>
      </w:r>
    </w:p>
    <w:p w:rsidR="003D7B0B" w:rsidRDefault="003D7B0B" w:rsidP="00884D6C"/>
    <w:p w:rsidR="003D7B0B" w:rsidRDefault="006E0575" w:rsidP="00884D6C">
      <w:pPr>
        <w:pStyle w:val="berschrift2"/>
      </w:pPr>
      <w:r>
        <w:t>3.3</w:t>
      </w:r>
      <w:r w:rsidR="003D7B0B">
        <w:tab/>
        <w:t>Auswirkungen bei Ablehnung der Stellenschaffungen</w:t>
      </w:r>
    </w:p>
    <w:p w:rsidR="00ED3D14" w:rsidRPr="00ED3D14" w:rsidRDefault="00ED3D14" w:rsidP="00ED3D14"/>
    <w:p w:rsidR="00F230FC" w:rsidRDefault="00F230FC" w:rsidP="00F230FC">
      <w:r>
        <w:t>Bei Ablehnung der Stellenschaffung ist die Aufrechterhaltung des Dienstbetriebes gefährdet.</w:t>
      </w:r>
    </w:p>
    <w:p w:rsidR="003D7B0B" w:rsidRDefault="00884D6C" w:rsidP="00884D6C">
      <w:pPr>
        <w:pStyle w:val="berschrift1"/>
      </w:pPr>
      <w:r>
        <w:t>4</w:t>
      </w:r>
      <w:r>
        <w:tab/>
      </w:r>
      <w:r w:rsidR="003D7B0B">
        <w:t>Stellenvermerke</w:t>
      </w:r>
    </w:p>
    <w:p w:rsidR="003D7B0B" w:rsidRDefault="003D7B0B" w:rsidP="00884D6C"/>
    <w:p w:rsidR="00F230FC" w:rsidRDefault="006C625E" w:rsidP="00884D6C">
      <w:r>
        <w:t>keine</w:t>
      </w:r>
      <w:bookmarkStart w:id="0" w:name="_GoBack"/>
      <w:bookmarkEnd w:id="0"/>
    </w:p>
    <w:sectPr w:rsidR="00F230FC"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87" w:rsidRDefault="00B11187">
      <w:r>
        <w:separator/>
      </w:r>
    </w:p>
  </w:endnote>
  <w:endnote w:type="continuationSeparator" w:id="0">
    <w:p w:rsidR="00B11187" w:rsidRDefault="00B1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87" w:rsidRDefault="00B11187">
      <w:r>
        <w:separator/>
      </w:r>
    </w:p>
  </w:footnote>
  <w:footnote w:type="continuationSeparator" w:id="0">
    <w:p w:rsidR="00B11187" w:rsidRDefault="00B1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C625E">
      <w:rPr>
        <w:rStyle w:val="Seitenzahl"/>
        <w:noProof/>
      </w:rPr>
      <w:t>2</w:t>
    </w:r>
    <w:r>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11112B"/>
    <w:rsid w:val="0014415D"/>
    <w:rsid w:val="00163034"/>
    <w:rsid w:val="00165C0D"/>
    <w:rsid w:val="00181857"/>
    <w:rsid w:val="00184EDC"/>
    <w:rsid w:val="00194770"/>
    <w:rsid w:val="001A5F9B"/>
    <w:rsid w:val="001C0E04"/>
    <w:rsid w:val="001F7237"/>
    <w:rsid w:val="002364CD"/>
    <w:rsid w:val="002779E3"/>
    <w:rsid w:val="002924CB"/>
    <w:rsid w:val="002A20D1"/>
    <w:rsid w:val="002B5955"/>
    <w:rsid w:val="00341F1E"/>
    <w:rsid w:val="00380937"/>
    <w:rsid w:val="00393A04"/>
    <w:rsid w:val="003D7B0B"/>
    <w:rsid w:val="004372F4"/>
    <w:rsid w:val="00470135"/>
    <w:rsid w:val="0047606A"/>
    <w:rsid w:val="004908B5"/>
    <w:rsid w:val="0049121B"/>
    <w:rsid w:val="004A1688"/>
    <w:rsid w:val="004B6796"/>
    <w:rsid w:val="004E324F"/>
    <w:rsid w:val="005A0A9D"/>
    <w:rsid w:val="005A1429"/>
    <w:rsid w:val="005A56AA"/>
    <w:rsid w:val="005E19C6"/>
    <w:rsid w:val="005F5B3D"/>
    <w:rsid w:val="00606F80"/>
    <w:rsid w:val="006A7700"/>
    <w:rsid w:val="006B6D50"/>
    <w:rsid w:val="006C625E"/>
    <w:rsid w:val="006E0575"/>
    <w:rsid w:val="00754659"/>
    <w:rsid w:val="007A29E4"/>
    <w:rsid w:val="007E3B79"/>
    <w:rsid w:val="008066EE"/>
    <w:rsid w:val="00817BB6"/>
    <w:rsid w:val="00830C0E"/>
    <w:rsid w:val="00884D6C"/>
    <w:rsid w:val="008A6853"/>
    <w:rsid w:val="008C7A8A"/>
    <w:rsid w:val="00906404"/>
    <w:rsid w:val="00976588"/>
    <w:rsid w:val="00A27CA7"/>
    <w:rsid w:val="00A71D0A"/>
    <w:rsid w:val="00A77F1E"/>
    <w:rsid w:val="00B04290"/>
    <w:rsid w:val="00B11187"/>
    <w:rsid w:val="00B80DEF"/>
    <w:rsid w:val="00BC4669"/>
    <w:rsid w:val="00BF2B95"/>
    <w:rsid w:val="00C16EF1"/>
    <w:rsid w:val="00C448D3"/>
    <w:rsid w:val="00D461B9"/>
    <w:rsid w:val="00DB3D6C"/>
    <w:rsid w:val="00E014B6"/>
    <w:rsid w:val="00E1162F"/>
    <w:rsid w:val="00E11D5F"/>
    <w:rsid w:val="00E20E1F"/>
    <w:rsid w:val="00E47044"/>
    <w:rsid w:val="00E7118F"/>
    <w:rsid w:val="00ED3D14"/>
    <w:rsid w:val="00F230FC"/>
    <w:rsid w:val="00F27657"/>
    <w:rsid w:val="00F342DC"/>
    <w:rsid w:val="00F51667"/>
    <w:rsid w:val="00F63041"/>
    <w:rsid w:val="00F76452"/>
    <w:rsid w:val="00FB099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B0104"/>
  <w15:docId w15:val="{53B6DC5E-C1E6-4F97-8F3A-13D29DFD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855F-D843-4700-A925-3CFC3DD5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5E19EACA.dotm</Template>
  <TotalTime>0</TotalTime>
  <Pages>2</Pages>
  <Words>450</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13</cp:revision>
  <cp:lastPrinted>2017-09-12T15:02:00Z</cp:lastPrinted>
  <dcterms:created xsi:type="dcterms:W3CDTF">2017-08-17T13:44:00Z</dcterms:created>
  <dcterms:modified xsi:type="dcterms:W3CDTF">2017-09-12T15:03:00Z</dcterms:modified>
</cp:coreProperties>
</file>