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339A5">
        <w:rPr>
          <w:szCs w:val="24"/>
        </w:rPr>
        <w:t>3</w:t>
      </w:r>
      <w:r w:rsidRPr="006E0575">
        <w:rPr>
          <w:szCs w:val="24"/>
        </w:rPr>
        <w:t xml:space="preserve"> zur GRDrs </w:t>
      </w:r>
      <w:r w:rsidR="00A526A8">
        <w:rPr>
          <w:szCs w:val="24"/>
        </w:rPr>
        <w:t>833</w:t>
      </w:r>
      <w:r w:rsidRPr="006E0575">
        <w:rPr>
          <w:szCs w:val="24"/>
        </w:rPr>
        <w:t>/20</w:t>
      </w:r>
      <w:r w:rsidR="002E442C">
        <w:rPr>
          <w:szCs w:val="24"/>
        </w:rPr>
        <w:t>1</w:t>
      </w:r>
      <w:r w:rsidR="00FF472B">
        <w:rPr>
          <w:szCs w:val="24"/>
        </w:rPr>
        <w:t>7</w:t>
      </w:r>
    </w:p>
    <w:p w:rsidR="003D7B0B" w:rsidRPr="006E0575" w:rsidRDefault="003D7B0B" w:rsidP="006E0575"/>
    <w:p w:rsidR="003D7B0B" w:rsidRPr="006E0575" w:rsidRDefault="003D7B0B" w:rsidP="006E0575"/>
    <w:p w:rsidR="00A52824" w:rsidRDefault="00A34898" w:rsidP="00A52824">
      <w:pPr>
        <w:jc w:val="center"/>
        <w:rPr>
          <w:b/>
          <w:sz w:val="36"/>
          <w:szCs w:val="36"/>
          <w:u w:val="single"/>
        </w:rPr>
      </w:pPr>
      <w:r w:rsidRPr="008A6A07">
        <w:rPr>
          <w:b/>
          <w:sz w:val="36"/>
          <w:u w:val="single"/>
        </w:rPr>
        <w:t>Verlängerung</w:t>
      </w:r>
      <w:r w:rsidR="00F14EEB" w:rsidRPr="008A6A07">
        <w:rPr>
          <w:b/>
          <w:sz w:val="36"/>
          <w:u w:val="single"/>
        </w:rPr>
        <w:t xml:space="preserve"> einer</w:t>
      </w:r>
      <w:r w:rsidRPr="008A6A07">
        <w:rPr>
          <w:b/>
          <w:sz w:val="36"/>
          <w:u w:val="single"/>
        </w:rPr>
        <w:t xml:space="preserve"> </w:t>
      </w:r>
      <w:r w:rsidR="00F14EEB" w:rsidRPr="008A6A07">
        <w:rPr>
          <w:b/>
          <w:sz w:val="36"/>
          <w:u w:val="single"/>
        </w:rPr>
        <w:t>Ermächtigung</w:t>
      </w:r>
      <w:r w:rsidR="003D7B0B">
        <w:rPr>
          <w:b/>
          <w:sz w:val="36"/>
          <w:u w:val="single"/>
        </w:rPr>
        <w:t xml:space="preserve"> </w:t>
      </w:r>
      <w:r>
        <w:rPr>
          <w:b/>
          <w:sz w:val="36"/>
          <w:u w:val="single"/>
        </w:rPr>
        <w:br/>
      </w:r>
      <w:r w:rsidR="00A52824">
        <w:rPr>
          <w:b/>
          <w:sz w:val="36"/>
          <w:szCs w:val="36"/>
          <w:u w:val="single"/>
        </w:rPr>
        <w:t>zur Einstellung von Personal</w:t>
      </w:r>
    </w:p>
    <w:p w:rsidR="00A52824" w:rsidRDefault="00A52824" w:rsidP="00A52824">
      <w:pPr>
        <w:jc w:val="center"/>
        <w:rPr>
          <w:b/>
          <w:sz w:val="36"/>
          <w:szCs w:val="36"/>
          <w:u w:val="single"/>
        </w:rPr>
      </w:pPr>
      <w:r>
        <w:rPr>
          <w:b/>
          <w:sz w:val="36"/>
          <w:szCs w:val="36"/>
          <w:u w:val="single"/>
        </w:rPr>
        <w:t>außerhalb des Stellenplans</w:t>
      </w:r>
    </w:p>
    <w:p w:rsidR="00A52824" w:rsidRDefault="00A52824" w:rsidP="00A52824">
      <w:pPr>
        <w:tabs>
          <w:tab w:val="left" w:pos="6521"/>
        </w:tabs>
        <w:jc w:val="center"/>
      </w:pPr>
    </w:p>
    <w:p w:rsidR="00A52824" w:rsidRDefault="00A52824" w:rsidP="006E0575"/>
    <w:tbl>
      <w:tblPr>
        <w:tblpPr w:leftFromText="141" w:rightFromText="141" w:vertAnchor="text" w:horzAnchor="margin" w:tblpY="12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45"/>
        <w:gridCol w:w="1701"/>
        <w:gridCol w:w="1134"/>
        <w:gridCol w:w="1752"/>
        <w:gridCol w:w="1843"/>
        <w:gridCol w:w="1418"/>
      </w:tblGrid>
      <w:tr w:rsidR="00A52824" w:rsidRPr="008B46F7" w:rsidTr="00854679">
        <w:trPr>
          <w:cantSplit/>
          <w:tblHeader/>
        </w:trPr>
        <w:tc>
          <w:tcPr>
            <w:tcW w:w="1645" w:type="dxa"/>
            <w:shd w:val="pct12" w:color="auto" w:fill="FFFFFF"/>
            <w:vAlign w:val="center"/>
          </w:tcPr>
          <w:p w:rsidR="00A52824" w:rsidRPr="008B46F7" w:rsidRDefault="00A52824" w:rsidP="00854679">
            <w:pPr>
              <w:spacing w:before="60" w:after="60" w:line="200" w:lineRule="exact"/>
              <w:ind w:left="-85" w:right="-85"/>
              <w:rPr>
                <w:sz w:val="16"/>
                <w:szCs w:val="16"/>
              </w:rPr>
            </w:pPr>
            <w:r w:rsidRPr="008B46F7">
              <w:rPr>
                <w:sz w:val="16"/>
                <w:szCs w:val="16"/>
              </w:rPr>
              <w:t>Org.-Einheit</w:t>
            </w:r>
            <w:r w:rsidRPr="008B46F7">
              <w:rPr>
                <w:sz w:val="16"/>
                <w:szCs w:val="16"/>
              </w:rPr>
              <w:br/>
              <w:t>(aut. Stpl.),</w:t>
            </w:r>
          </w:p>
          <w:p w:rsidR="00A52824" w:rsidRPr="008B46F7" w:rsidRDefault="00A52824" w:rsidP="00854679">
            <w:pPr>
              <w:spacing w:before="60" w:after="60" w:line="200" w:lineRule="exact"/>
              <w:ind w:left="-85" w:right="-85"/>
              <w:rPr>
                <w:sz w:val="16"/>
                <w:szCs w:val="16"/>
              </w:rPr>
            </w:pPr>
            <w:r w:rsidRPr="008B46F7">
              <w:rPr>
                <w:sz w:val="16"/>
                <w:szCs w:val="16"/>
              </w:rPr>
              <w:br/>
            </w:r>
            <w:r>
              <w:rPr>
                <w:sz w:val="16"/>
                <w:szCs w:val="16"/>
              </w:rPr>
              <w:t xml:space="preserve"> </w:t>
            </w:r>
            <w:r w:rsidRPr="008B46F7">
              <w:rPr>
                <w:sz w:val="16"/>
                <w:szCs w:val="16"/>
              </w:rPr>
              <w:t>Kostenstelle</w:t>
            </w:r>
          </w:p>
        </w:tc>
        <w:tc>
          <w:tcPr>
            <w:tcW w:w="1701" w:type="dxa"/>
            <w:shd w:val="pct12" w:color="auto" w:fill="FFFFFF"/>
            <w:vAlign w:val="center"/>
          </w:tcPr>
          <w:p w:rsidR="00A52824" w:rsidRPr="008B46F7" w:rsidRDefault="00A52824" w:rsidP="00854679">
            <w:pPr>
              <w:spacing w:before="60" w:after="60" w:line="200" w:lineRule="exact"/>
              <w:ind w:left="-85" w:right="-85"/>
              <w:rPr>
                <w:sz w:val="16"/>
                <w:szCs w:val="16"/>
              </w:rPr>
            </w:pPr>
            <w:r w:rsidRPr="008B46F7">
              <w:rPr>
                <w:sz w:val="16"/>
                <w:szCs w:val="16"/>
              </w:rPr>
              <w:t>Amt</w:t>
            </w:r>
          </w:p>
        </w:tc>
        <w:tc>
          <w:tcPr>
            <w:tcW w:w="1134" w:type="dxa"/>
            <w:shd w:val="pct12" w:color="auto" w:fill="FFFFFF"/>
            <w:vAlign w:val="center"/>
          </w:tcPr>
          <w:p w:rsidR="00A52824" w:rsidRPr="008B46F7" w:rsidRDefault="00A52824" w:rsidP="00854679">
            <w:pPr>
              <w:spacing w:before="60" w:after="60" w:line="200" w:lineRule="exact"/>
              <w:ind w:left="-85" w:right="-85"/>
              <w:rPr>
                <w:sz w:val="16"/>
                <w:szCs w:val="16"/>
              </w:rPr>
            </w:pPr>
            <w:r w:rsidRPr="008B46F7">
              <w:rPr>
                <w:sz w:val="16"/>
                <w:szCs w:val="16"/>
              </w:rPr>
              <w:t>BesGr.</w:t>
            </w:r>
          </w:p>
          <w:p w:rsidR="00A52824" w:rsidRPr="008B46F7" w:rsidRDefault="00A52824" w:rsidP="00854679">
            <w:pPr>
              <w:spacing w:before="60" w:after="60" w:line="200" w:lineRule="exact"/>
              <w:ind w:left="-85" w:right="-85"/>
              <w:rPr>
                <w:sz w:val="16"/>
                <w:szCs w:val="16"/>
              </w:rPr>
            </w:pPr>
            <w:r w:rsidRPr="008B46F7">
              <w:rPr>
                <w:sz w:val="16"/>
                <w:szCs w:val="16"/>
              </w:rPr>
              <w:t>oder</w:t>
            </w:r>
          </w:p>
          <w:p w:rsidR="00A52824" w:rsidRPr="008B46F7" w:rsidRDefault="00A52824" w:rsidP="00854679">
            <w:pPr>
              <w:spacing w:before="60" w:after="60" w:line="200" w:lineRule="exact"/>
              <w:ind w:left="-85" w:right="-85"/>
              <w:rPr>
                <w:sz w:val="16"/>
                <w:szCs w:val="16"/>
              </w:rPr>
            </w:pPr>
            <w:r w:rsidRPr="008B46F7">
              <w:rPr>
                <w:sz w:val="16"/>
                <w:szCs w:val="16"/>
              </w:rPr>
              <w:t>EG</w:t>
            </w:r>
          </w:p>
        </w:tc>
        <w:tc>
          <w:tcPr>
            <w:tcW w:w="1752" w:type="dxa"/>
            <w:shd w:val="pct12" w:color="auto" w:fill="FFFFFF"/>
            <w:vAlign w:val="center"/>
          </w:tcPr>
          <w:p w:rsidR="00A52824" w:rsidRPr="008B46F7" w:rsidRDefault="00A52824" w:rsidP="00854679">
            <w:pPr>
              <w:spacing w:before="60" w:after="60" w:line="200" w:lineRule="exact"/>
              <w:ind w:left="-85" w:right="-85"/>
              <w:rPr>
                <w:sz w:val="16"/>
                <w:szCs w:val="16"/>
              </w:rPr>
            </w:pPr>
            <w:r w:rsidRPr="008B46F7">
              <w:rPr>
                <w:sz w:val="16"/>
                <w:szCs w:val="16"/>
              </w:rPr>
              <w:t>Funktionsbezeichnung</w:t>
            </w:r>
          </w:p>
        </w:tc>
        <w:tc>
          <w:tcPr>
            <w:tcW w:w="1843" w:type="dxa"/>
            <w:shd w:val="pct12" w:color="auto" w:fill="FFFFFF"/>
            <w:vAlign w:val="center"/>
          </w:tcPr>
          <w:p w:rsidR="00A52824" w:rsidRPr="008B46F7" w:rsidRDefault="00A52824" w:rsidP="00854679">
            <w:pPr>
              <w:spacing w:before="60" w:after="60" w:line="200" w:lineRule="exact"/>
              <w:ind w:left="-85" w:right="-85"/>
              <w:rPr>
                <w:sz w:val="16"/>
                <w:szCs w:val="16"/>
              </w:rPr>
            </w:pPr>
            <w:r w:rsidRPr="008B46F7">
              <w:rPr>
                <w:sz w:val="16"/>
                <w:szCs w:val="16"/>
              </w:rPr>
              <w:t>Umfang in Vollzeitkräften</w:t>
            </w:r>
          </w:p>
        </w:tc>
        <w:tc>
          <w:tcPr>
            <w:tcW w:w="1418" w:type="dxa"/>
            <w:shd w:val="pct12" w:color="auto" w:fill="FFFFFF"/>
            <w:vAlign w:val="center"/>
          </w:tcPr>
          <w:p w:rsidR="00A52824" w:rsidRPr="008B46F7" w:rsidRDefault="00A52824" w:rsidP="00854679">
            <w:pPr>
              <w:spacing w:before="60" w:after="60" w:line="200" w:lineRule="exact"/>
              <w:ind w:left="-85" w:right="-85"/>
              <w:rPr>
                <w:sz w:val="16"/>
                <w:szCs w:val="16"/>
              </w:rPr>
            </w:pPr>
            <w:r w:rsidRPr="008B46F7">
              <w:rPr>
                <w:sz w:val="16"/>
                <w:szCs w:val="16"/>
              </w:rPr>
              <w:t>durchschnittl. jährl. kostenwirksamer Aufwand</w:t>
            </w:r>
          </w:p>
          <w:p w:rsidR="00A52824" w:rsidRPr="008B46F7" w:rsidRDefault="00A52824" w:rsidP="00854679">
            <w:pPr>
              <w:spacing w:before="60" w:after="60" w:line="200" w:lineRule="exact"/>
              <w:ind w:left="-85" w:right="-85"/>
              <w:rPr>
                <w:sz w:val="16"/>
                <w:szCs w:val="16"/>
              </w:rPr>
            </w:pPr>
            <w:r w:rsidRPr="008B46F7">
              <w:rPr>
                <w:sz w:val="16"/>
                <w:szCs w:val="16"/>
              </w:rPr>
              <w:t>Euro</w:t>
            </w:r>
          </w:p>
        </w:tc>
      </w:tr>
      <w:tr w:rsidR="00A52824" w:rsidRPr="006E0575" w:rsidTr="003C0E2D">
        <w:trPr>
          <w:cantSplit/>
          <w:tblHeader/>
        </w:trPr>
        <w:tc>
          <w:tcPr>
            <w:tcW w:w="1645" w:type="dxa"/>
            <w:shd w:val="clear" w:color="auto" w:fill="auto"/>
            <w:vAlign w:val="center"/>
          </w:tcPr>
          <w:p w:rsidR="00A52824" w:rsidRPr="00262264" w:rsidRDefault="00A52824" w:rsidP="00A52824">
            <w:pPr>
              <w:spacing w:before="60" w:after="60" w:line="200" w:lineRule="exact"/>
              <w:ind w:left="-85" w:right="-85"/>
              <w:rPr>
                <w:sz w:val="20"/>
              </w:rPr>
            </w:pPr>
          </w:p>
          <w:p w:rsidR="00A52824" w:rsidRDefault="00A52824" w:rsidP="00A52824">
            <w:pPr>
              <w:rPr>
                <w:sz w:val="20"/>
              </w:rPr>
            </w:pPr>
            <w:r>
              <w:rPr>
                <w:sz w:val="20"/>
              </w:rPr>
              <w:t>060 2900 190</w:t>
            </w:r>
          </w:p>
          <w:p w:rsidR="00A52824" w:rsidRDefault="00A52824" w:rsidP="00A52824">
            <w:pPr>
              <w:rPr>
                <w:sz w:val="20"/>
              </w:rPr>
            </w:pPr>
          </w:p>
          <w:p w:rsidR="00A52824" w:rsidRDefault="00A52824" w:rsidP="00A52824">
            <w:pPr>
              <w:rPr>
                <w:sz w:val="20"/>
              </w:rPr>
            </w:pPr>
            <w:r>
              <w:rPr>
                <w:sz w:val="20"/>
              </w:rPr>
              <w:t>29109806</w:t>
            </w:r>
          </w:p>
          <w:p w:rsidR="00A52824" w:rsidRPr="00262264" w:rsidRDefault="00A52824" w:rsidP="00A52824">
            <w:pPr>
              <w:spacing w:before="60" w:after="60" w:line="200" w:lineRule="exact"/>
              <w:ind w:left="-85" w:right="-85"/>
              <w:rPr>
                <w:sz w:val="20"/>
              </w:rPr>
            </w:pPr>
          </w:p>
        </w:tc>
        <w:tc>
          <w:tcPr>
            <w:tcW w:w="1701" w:type="dxa"/>
            <w:shd w:val="clear" w:color="auto" w:fill="auto"/>
            <w:vAlign w:val="center"/>
          </w:tcPr>
          <w:p w:rsidR="00A52824" w:rsidRPr="00262264" w:rsidRDefault="00A52824" w:rsidP="00A52824">
            <w:pPr>
              <w:spacing w:before="60" w:after="60" w:line="200" w:lineRule="exact"/>
              <w:ind w:left="-85" w:right="-85"/>
              <w:rPr>
                <w:sz w:val="20"/>
              </w:rPr>
            </w:pPr>
            <w:r>
              <w:rPr>
                <w:sz w:val="20"/>
              </w:rPr>
              <w:t>Jobcenter</w:t>
            </w:r>
          </w:p>
        </w:tc>
        <w:tc>
          <w:tcPr>
            <w:tcW w:w="1134" w:type="dxa"/>
            <w:shd w:val="clear" w:color="auto" w:fill="auto"/>
            <w:vAlign w:val="center"/>
          </w:tcPr>
          <w:p w:rsidR="00A52824" w:rsidRPr="00262264" w:rsidRDefault="00A52824" w:rsidP="00A52824">
            <w:pPr>
              <w:spacing w:before="60" w:after="60" w:line="200" w:lineRule="exact"/>
              <w:ind w:left="-85" w:right="-85"/>
              <w:rPr>
                <w:sz w:val="20"/>
              </w:rPr>
            </w:pPr>
            <w:r>
              <w:rPr>
                <w:sz w:val="20"/>
              </w:rPr>
              <w:t>EG 10</w:t>
            </w:r>
          </w:p>
        </w:tc>
        <w:tc>
          <w:tcPr>
            <w:tcW w:w="1752" w:type="dxa"/>
            <w:shd w:val="clear" w:color="auto" w:fill="auto"/>
          </w:tcPr>
          <w:p w:rsidR="00A52824" w:rsidRDefault="00A52824" w:rsidP="00A52824">
            <w:pPr>
              <w:rPr>
                <w:sz w:val="20"/>
              </w:rPr>
            </w:pPr>
          </w:p>
          <w:p w:rsidR="00A52824" w:rsidRPr="006E0575" w:rsidRDefault="00A52824" w:rsidP="00A52824">
            <w:pPr>
              <w:rPr>
                <w:sz w:val="20"/>
              </w:rPr>
            </w:pPr>
            <w:r>
              <w:rPr>
                <w:sz w:val="20"/>
              </w:rPr>
              <w:t>Sachbearbeiter/in Finanzen ESF-Bundesprogramm LZA</w:t>
            </w:r>
          </w:p>
        </w:tc>
        <w:tc>
          <w:tcPr>
            <w:tcW w:w="1843" w:type="dxa"/>
            <w:tcBorders>
              <w:bottom w:val="single" w:sz="4" w:space="0" w:color="auto"/>
            </w:tcBorders>
            <w:shd w:val="pct12" w:color="auto" w:fill="FFFFFF"/>
            <w:vAlign w:val="center"/>
          </w:tcPr>
          <w:p w:rsidR="00A52824" w:rsidRDefault="00A52824" w:rsidP="00A52824">
            <w:pPr>
              <w:spacing w:before="60" w:after="60" w:line="200" w:lineRule="exact"/>
              <w:ind w:left="-85" w:right="-85"/>
              <w:jc w:val="center"/>
              <w:rPr>
                <w:sz w:val="20"/>
              </w:rPr>
            </w:pPr>
            <w:r>
              <w:rPr>
                <w:sz w:val="20"/>
              </w:rPr>
              <w:t>1,0</w:t>
            </w:r>
          </w:p>
        </w:tc>
        <w:tc>
          <w:tcPr>
            <w:tcW w:w="1418" w:type="dxa"/>
            <w:shd w:val="clear" w:color="auto" w:fill="auto"/>
            <w:vAlign w:val="center"/>
          </w:tcPr>
          <w:p w:rsidR="00A52824" w:rsidRDefault="00A52824" w:rsidP="00A52824">
            <w:pPr>
              <w:spacing w:before="60" w:after="60" w:line="200" w:lineRule="exact"/>
              <w:ind w:left="-85" w:right="-85"/>
              <w:rPr>
                <w:sz w:val="20"/>
              </w:rPr>
            </w:pPr>
            <w:r>
              <w:rPr>
                <w:sz w:val="20"/>
              </w:rPr>
              <w:t xml:space="preserve"> hh-neutral</w:t>
            </w:r>
          </w:p>
        </w:tc>
      </w:tr>
    </w:tbl>
    <w:p w:rsidR="00A52824" w:rsidRDefault="00A52824" w:rsidP="00A52824"/>
    <w:p w:rsidR="00A52824" w:rsidRDefault="00A52824" w:rsidP="00A52824"/>
    <w:p w:rsidR="00A52824" w:rsidRDefault="00A52824" w:rsidP="00A52824">
      <w:r w:rsidRPr="00A52824">
        <w:rPr>
          <w:b/>
          <w:u w:val="single"/>
        </w:rPr>
        <w:t>Antrag</w:t>
      </w:r>
      <w:r>
        <w:t>:</w:t>
      </w:r>
    </w:p>
    <w:p w:rsidR="00A52824" w:rsidRDefault="00A52824" w:rsidP="00A52824"/>
    <w:p w:rsidR="00A52824" w:rsidRDefault="00A52824" w:rsidP="00A52824">
      <w:r>
        <w:t>Die bisher bis zum 31.12.2017 befristete Ermächtigung soll bis zum 31.12.2019 verlängert werden.</w:t>
      </w:r>
    </w:p>
    <w:p w:rsidR="00A52824" w:rsidRDefault="00A52824" w:rsidP="00A52824"/>
    <w:p w:rsidR="00694161" w:rsidRDefault="00694161" w:rsidP="00694161"/>
    <w:p w:rsidR="003D7B0B" w:rsidRPr="00694161" w:rsidRDefault="00694161" w:rsidP="00694161">
      <w:pPr>
        <w:rPr>
          <w:b/>
          <w:u w:val="single"/>
        </w:rPr>
      </w:pPr>
      <w:r w:rsidRPr="00694161">
        <w:rPr>
          <w:b/>
          <w:u w:val="single"/>
        </w:rPr>
        <w:t>Be</w:t>
      </w:r>
      <w:r w:rsidRPr="000D6946">
        <w:rPr>
          <w:b/>
          <w:u w:val="single"/>
        </w:rPr>
        <w:t>g</w:t>
      </w:r>
      <w:r w:rsidRPr="00694161">
        <w:rPr>
          <w:b/>
          <w:u w:val="single"/>
        </w:rPr>
        <w:t>ründun</w:t>
      </w:r>
      <w:r w:rsidRPr="00FF472B">
        <w:rPr>
          <w:b/>
          <w:u w:val="single"/>
        </w:rPr>
        <w:t>g</w:t>
      </w:r>
      <w:r w:rsidRPr="00FF472B">
        <w:rPr>
          <w:b/>
        </w:rPr>
        <w:t>:</w:t>
      </w:r>
    </w:p>
    <w:p w:rsidR="003D7B0B" w:rsidRDefault="003D7B0B" w:rsidP="00694161"/>
    <w:p w:rsidR="00D92FA8" w:rsidRDefault="00CC0ED0" w:rsidP="00694161">
      <w:pPr>
        <w:rPr>
          <w:rFonts w:cs="Arial"/>
          <w:szCs w:val="24"/>
        </w:rPr>
      </w:pPr>
      <w:r w:rsidRPr="00C008E7">
        <w:rPr>
          <w:rFonts w:cs="Arial"/>
          <w:szCs w:val="24"/>
        </w:rPr>
        <w:t>Gemäß Beschluss des Gemeinderats vom 02.07.2015</w:t>
      </w:r>
      <w:r w:rsidR="0042766E" w:rsidRPr="00C008E7">
        <w:rPr>
          <w:rFonts w:cs="Arial"/>
          <w:szCs w:val="24"/>
        </w:rPr>
        <w:t xml:space="preserve"> (GRDrs 425/2015) </w:t>
      </w:r>
      <w:r w:rsidRPr="00C008E7">
        <w:rPr>
          <w:rFonts w:cs="Arial"/>
          <w:szCs w:val="24"/>
        </w:rPr>
        <w:t xml:space="preserve">beteiligt sich das Jobcenter Stuttgart seit 01.08.2015 an dem </w:t>
      </w:r>
      <w:r w:rsidR="0042766E" w:rsidRPr="00C008E7">
        <w:rPr>
          <w:rFonts w:cs="Arial"/>
          <w:szCs w:val="24"/>
        </w:rPr>
        <w:t>ESF-Bundesprogramm zur Eingliederung langzeitarbeitsloser SGB II-Leistungsberechtigter auf dem allgemeinen Arbeitsmarkt (LZA)</w:t>
      </w:r>
      <w:r w:rsidR="00C008E7" w:rsidRPr="00C008E7">
        <w:rPr>
          <w:rFonts w:cs="Arial"/>
          <w:szCs w:val="24"/>
        </w:rPr>
        <w:t>. Mit dem Programm sollen Menschen, die bislang weit vom Arbeitsmarkt entfernt waren, in sozialversicherungspflichtige Beschäftigungsverhältnisse auf dem ersten Arbeitsmarkt integriert we</w:t>
      </w:r>
      <w:r w:rsidR="00F7755B">
        <w:rPr>
          <w:rFonts w:cs="Arial"/>
          <w:szCs w:val="24"/>
        </w:rPr>
        <w:t>r</w:t>
      </w:r>
      <w:r w:rsidR="00C008E7" w:rsidRPr="00C008E7">
        <w:rPr>
          <w:rFonts w:cs="Arial"/>
          <w:szCs w:val="24"/>
        </w:rPr>
        <w:t>den</w:t>
      </w:r>
      <w:r w:rsidR="00C03B81">
        <w:rPr>
          <w:rFonts w:cs="Arial"/>
          <w:szCs w:val="24"/>
        </w:rPr>
        <w:t xml:space="preserve">. </w:t>
      </w:r>
      <w:r w:rsidR="001369BB">
        <w:rPr>
          <w:rFonts w:cs="Arial"/>
          <w:szCs w:val="24"/>
        </w:rPr>
        <w:t>Hierzu sollen e</w:t>
      </w:r>
      <w:r w:rsidR="00C03B81">
        <w:rPr>
          <w:rFonts w:cs="Arial"/>
          <w:szCs w:val="24"/>
        </w:rPr>
        <w:t xml:space="preserve">igens eingestellte </w:t>
      </w:r>
      <w:r w:rsidR="00C03B81" w:rsidRPr="00F7755B">
        <w:rPr>
          <w:rFonts w:cs="Arial"/>
          <w:szCs w:val="24"/>
        </w:rPr>
        <w:t xml:space="preserve">Betriebsakquisiteure in den Jobcentern Arbeitgeber gezielt für das Engagement für Langzeitarbeitslose gewinnen. </w:t>
      </w:r>
      <w:r w:rsidR="00C008E7" w:rsidRPr="00C008E7">
        <w:rPr>
          <w:rFonts w:cs="Arial"/>
          <w:szCs w:val="24"/>
        </w:rPr>
        <w:t>Nach Aufnahme</w:t>
      </w:r>
      <w:r w:rsidR="00EA28A7">
        <w:rPr>
          <w:rFonts w:cs="Arial"/>
          <w:szCs w:val="24"/>
        </w:rPr>
        <w:t xml:space="preserve"> der </w:t>
      </w:r>
      <w:r w:rsidR="00C008E7" w:rsidRPr="00C008E7">
        <w:rPr>
          <w:rFonts w:cs="Arial"/>
          <w:szCs w:val="24"/>
        </w:rPr>
        <w:t>Beschäftigung werden die Teilnehmenden durch ein Coaching begleitet und unterstützt. Die Arbeitgeber erhalten</w:t>
      </w:r>
      <w:r w:rsidR="00C03B81">
        <w:rPr>
          <w:rFonts w:cs="Arial"/>
          <w:szCs w:val="24"/>
        </w:rPr>
        <w:t xml:space="preserve"> </w:t>
      </w:r>
      <w:r w:rsidR="00C008E7" w:rsidRPr="00C008E7">
        <w:rPr>
          <w:rFonts w:cs="Arial"/>
          <w:szCs w:val="24"/>
        </w:rPr>
        <w:t>Lohnkostenzuschüsse, die im Verlauf des Beschäftigungsverhältnisses abgeschmo</w:t>
      </w:r>
      <w:r w:rsidR="00F7755B">
        <w:rPr>
          <w:rFonts w:cs="Arial"/>
          <w:szCs w:val="24"/>
        </w:rPr>
        <w:t>l</w:t>
      </w:r>
      <w:r w:rsidR="00C008E7" w:rsidRPr="00C008E7">
        <w:rPr>
          <w:rFonts w:cs="Arial"/>
          <w:szCs w:val="24"/>
        </w:rPr>
        <w:t>zen werden</w:t>
      </w:r>
      <w:r w:rsidR="00D92FA8">
        <w:rPr>
          <w:rFonts w:cs="Arial"/>
          <w:szCs w:val="24"/>
        </w:rPr>
        <w:t>.</w:t>
      </w:r>
    </w:p>
    <w:p w:rsidR="00D92FA8" w:rsidRDefault="00D92FA8" w:rsidP="00694161">
      <w:pPr>
        <w:rPr>
          <w:rFonts w:cs="Arial"/>
          <w:szCs w:val="24"/>
        </w:rPr>
      </w:pPr>
    </w:p>
    <w:p w:rsidR="004C29BD" w:rsidRDefault="00D92FA8" w:rsidP="00694161">
      <w:r>
        <w:t xml:space="preserve">Das Programm wird im Rahmen des Zuwendungsrechts aus Mitteln des Europäischen Sozialfonds (ESF) und aus Haushaltsmitteln des Bundes finanziert. Die Administration ist damit äußerst bürokratisch und mit einem immensen Verwaltungsaufwand verbunden. Das Jobcenter wurde daher </w:t>
      </w:r>
      <w:r w:rsidR="0042766E">
        <w:t>ermächtigt, außerhalb des Stellenplans</w:t>
      </w:r>
      <w:r w:rsidR="00A84D44">
        <w:t xml:space="preserve"> 1,00 </w:t>
      </w:r>
      <w:r w:rsidR="00A526A8">
        <w:t>Vollzeitkraft</w:t>
      </w:r>
      <w:r w:rsidR="00A84D44">
        <w:t xml:space="preserve"> Sachbearbeiter/in Finanzen</w:t>
      </w:r>
      <w:r w:rsidR="001369BB">
        <w:t xml:space="preserve">, zunächst </w:t>
      </w:r>
      <w:r w:rsidR="0001682E">
        <w:t>befristet bis 31.12.2017</w:t>
      </w:r>
      <w:r w:rsidR="001369BB">
        <w:t xml:space="preserve">, </w:t>
      </w:r>
      <w:r w:rsidR="00A526A8">
        <w:t>einzustellen</w:t>
      </w:r>
      <w:r w:rsidR="004C29BD">
        <w:t>.</w:t>
      </w:r>
    </w:p>
    <w:p w:rsidR="004C29BD" w:rsidRDefault="004C29BD" w:rsidP="00694161"/>
    <w:p w:rsidR="00526A03" w:rsidRDefault="004F5F3C" w:rsidP="00526A03">
      <w:pPr>
        <w:autoSpaceDE w:val="0"/>
        <w:autoSpaceDN w:val="0"/>
        <w:adjustRightInd w:val="0"/>
        <w:rPr>
          <w:rFonts w:cs="Arial"/>
          <w:szCs w:val="24"/>
        </w:rPr>
      </w:pPr>
      <w:r w:rsidRPr="00A72736">
        <w:t>Vom Bundesverwaltungsamt wurden</w:t>
      </w:r>
      <w:r w:rsidR="001369BB" w:rsidRPr="00A72736">
        <w:t xml:space="preserve"> </w:t>
      </w:r>
      <w:r w:rsidRPr="00A72736">
        <w:t xml:space="preserve">Mittel für </w:t>
      </w:r>
      <w:r w:rsidR="005676C7" w:rsidRPr="00A72736">
        <w:t xml:space="preserve">insgesamt </w:t>
      </w:r>
      <w:r w:rsidRPr="00A72736">
        <w:t xml:space="preserve">208 Förderfälle bewilligt. </w:t>
      </w:r>
      <w:r w:rsidR="00DC60A4" w:rsidRPr="00A72736">
        <w:t>Bis</w:t>
      </w:r>
      <w:r w:rsidR="008374D0" w:rsidRPr="00A72736">
        <w:t xml:space="preserve"> ein</w:t>
      </w:r>
      <w:r w:rsidR="006A62BF" w:rsidRPr="00A72736">
        <w:t xml:space="preserve">schließlich Mai 2017 </w:t>
      </w:r>
      <w:r w:rsidR="005676C7" w:rsidRPr="00A72736">
        <w:t xml:space="preserve">konnte das Jobcenter für </w:t>
      </w:r>
      <w:r w:rsidR="00557775" w:rsidRPr="00A72736">
        <w:t>1</w:t>
      </w:r>
      <w:r w:rsidR="006A62BF" w:rsidRPr="00A72736">
        <w:t>2</w:t>
      </w:r>
      <w:r w:rsidR="00557775" w:rsidRPr="00A72736">
        <w:t>5 Teilnehmende</w:t>
      </w:r>
      <w:r w:rsidR="00C008E7" w:rsidRPr="00A72736">
        <w:t xml:space="preserve"> </w:t>
      </w:r>
      <w:r w:rsidR="00136BAC" w:rsidRPr="00A72736">
        <w:t>Lohnkostenzuschüsse</w:t>
      </w:r>
      <w:r w:rsidR="005676C7" w:rsidRPr="00A72736">
        <w:t xml:space="preserve"> bewilligen. </w:t>
      </w:r>
      <w:r w:rsidR="006A62BF" w:rsidRPr="00A72736">
        <w:t xml:space="preserve">Ende Mai 2017 </w:t>
      </w:r>
      <w:r w:rsidR="009F4B9D" w:rsidRPr="00A72736">
        <w:t xml:space="preserve">waren davon noch </w:t>
      </w:r>
      <w:r w:rsidR="006A62BF" w:rsidRPr="00A72736">
        <w:t>90</w:t>
      </w:r>
      <w:r w:rsidR="00526A03">
        <w:t xml:space="preserve"> in Beschäftigung. </w:t>
      </w:r>
      <w:r w:rsidR="00C752F1" w:rsidRPr="00A72736">
        <w:t xml:space="preserve">Gemäß der </w:t>
      </w:r>
      <w:r w:rsidR="001A114A" w:rsidRPr="00A72736">
        <w:t xml:space="preserve">ursprünglichen </w:t>
      </w:r>
      <w:r w:rsidR="00C752F1" w:rsidRPr="00A72736">
        <w:t>Förder</w:t>
      </w:r>
      <w:r w:rsidR="00C752F1" w:rsidRPr="00A72736">
        <w:rPr>
          <w:szCs w:val="24"/>
        </w:rPr>
        <w:t>richtlinie</w:t>
      </w:r>
      <w:r w:rsidR="005676C7" w:rsidRPr="00A72736">
        <w:rPr>
          <w:szCs w:val="24"/>
        </w:rPr>
        <w:t xml:space="preserve"> </w:t>
      </w:r>
      <w:r w:rsidR="001A114A" w:rsidRPr="00A72736">
        <w:rPr>
          <w:szCs w:val="24"/>
        </w:rPr>
        <w:t xml:space="preserve">sollten </w:t>
      </w:r>
      <w:r w:rsidR="005676C7" w:rsidRPr="00A72736">
        <w:rPr>
          <w:szCs w:val="24"/>
        </w:rPr>
        <w:t xml:space="preserve">Teilnehmende </w:t>
      </w:r>
      <w:r w:rsidR="001A114A" w:rsidRPr="00A72736">
        <w:rPr>
          <w:szCs w:val="24"/>
        </w:rPr>
        <w:t xml:space="preserve">nur </w:t>
      </w:r>
      <w:r w:rsidR="005676C7" w:rsidRPr="00A72736">
        <w:rPr>
          <w:szCs w:val="24"/>
        </w:rPr>
        <w:t xml:space="preserve">bis zum Ende </w:t>
      </w:r>
      <w:r w:rsidR="00753597" w:rsidRPr="00A72736">
        <w:rPr>
          <w:szCs w:val="24"/>
        </w:rPr>
        <w:t>der Beschäftigungszeit der Betriebsakquisiteure, somit bis 31.07.2017 in das Programm eintreten</w:t>
      </w:r>
      <w:r w:rsidR="001A114A" w:rsidRPr="00A72736">
        <w:rPr>
          <w:szCs w:val="24"/>
        </w:rPr>
        <w:t xml:space="preserve"> </w:t>
      </w:r>
      <w:r w:rsidR="001A114A" w:rsidRPr="00A72736">
        <w:rPr>
          <w:szCs w:val="24"/>
        </w:rPr>
        <w:lastRenderedPageBreak/>
        <w:t>können</w:t>
      </w:r>
      <w:r w:rsidR="00B30638" w:rsidRPr="00A72736">
        <w:rPr>
          <w:szCs w:val="24"/>
        </w:rPr>
        <w:t>. Durch eine Änderung der Richtlinie</w:t>
      </w:r>
      <w:r w:rsidR="009D7605" w:rsidRPr="00A72736">
        <w:rPr>
          <w:szCs w:val="24"/>
        </w:rPr>
        <w:t xml:space="preserve"> ist es nun möglich, dass </w:t>
      </w:r>
      <w:r w:rsidR="00B30638" w:rsidRPr="00A72736">
        <w:rPr>
          <w:szCs w:val="24"/>
        </w:rPr>
        <w:t xml:space="preserve">Teilnehmende </w:t>
      </w:r>
      <w:r w:rsidR="00B30638" w:rsidRPr="00A72736">
        <w:rPr>
          <w:rFonts w:cs="Arial"/>
          <w:szCs w:val="24"/>
        </w:rPr>
        <w:t>bis zum 31.</w:t>
      </w:r>
      <w:r w:rsidR="009D7605" w:rsidRPr="00A72736">
        <w:rPr>
          <w:rFonts w:cs="Arial"/>
          <w:szCs w:val="24"/>
        </w:rPr>
        <w:t>12.</w:t>
      </w:r>
      <w:r w:rsidR="00B30638" w:rsidRPr="00A72736">
        <w:rPr>
          <w:rFonts w:cs="Arial"/>
          <w:szCs w:val="24"/>
        </w:rPr>
        <w:t>2017 in für das Programm akquirierte Stellen einmünden</w:t>
      </w:r>
      <w:r w:rsidR="009D7605" w:rsidRPr="00A72736">
        <w:rPr>
          <w:rFonts w:cs="Arial"/>
          <w:szCs w:val="24"/>
        </w:rPr>
        <w:t xml:space="preserve">. Das Jobcenter Stuttgart hat einen entsprechenden Änderungsantrag gestellt und am 24.04.2017 die Zusage für die Verlängerung des Projektzeitraumes erhalten. </w:t>
      </w:r>
      <w:r w:rsidR="0070272D" w:rsidRPr="00A72736">
        <w:rPr>
          <w:rFonts w:cs="Arial"/>
          <w:szCs w:val="24"/>
        </w:rPr>
        <w:t>Der Plan sieht vor, v</w:t>
      </w:r>
      <w:r w:rsidR="009D7605" w:rsidRPr="00A72736">
        <w:rPr>
          <w:rFonts w:cs="Arial"/>
          <w:szCs w:val="24"/>
        </w:rPr>
        <w:t>on Juni bis einschließlich Dezember 2017</w:t>
      </w:r>
      <w:r w:rsidR="003B236A" w:rsidRPr="00A72736">
        <w:rPr>
          <w:rFonts w:cs="Arial"/>
          <w:szCs w:val="24"/>
        </w:rPr>
        <w:t xml:space="preserve"> </w:t>
      </w:r>
      <w:r w:rsidR="004B0C43" w:rsidRPr="00A72736">
        <w:rPr>
          <w:rFonts w:cs="Arial"/>
          <w:szCs w:val="24"/>
        </w:rPr>
        <w:t>weitere</w:t>
      </w:r>
      <w:r w:rsidR="003B236A" w:rsidRPr="00A72736">
        <w:rPr>
          <w:rFonts w:cs="Arial"/>
          <w:szCs w:val="24"/>
        </w:rPr>
        <w:t xml:space="preserve"> </w:t>
      </w:r>
      <w:r w:rsidR="004B0C43" w:rsidRPr="00A72736">
        <w:rPr>
          <w:rFonts w:cs="Arial"/>
          <w:szCs w:val="24"/>
        </w:rPr>
        <w:t xml:space="preserve">44 </w:t>
      </w:r>
      <w:r w:rsidR="0070272D" w:rsidRPr="00A72736">
        <w:rPr>
          <w:rFonts w:cs="Arial"/>
          <w:szCs w:val="24"/>
        </w:rPr>
        <w:t>Teilnehmende - nach Ausscheiden der Betriebsakquisiteure</w:t>
      </w:r>
      <w:r w:rsidR="008E593D" w:rsidRPr="00A72736">
        <w:rPr>
          <w:rFonts w:cs="Arial"/>
          <w:szCs w:val="24"/>
        </w:rPr>
        <w:t xml:space="preserve"> durch das </w:t>
      </w:r>
      <w:r w:rsidR="0070272D" w:rsidRPr="00A72736">
        <w:rPr>
          <w:rFonts w:cs="Arial"/>
          <w:szCs w:val="24"/>
        </w:rPr>
        <w:t>Arbeitgeberteam</w:t>
      </w:r>
      <w:r w:rsidR="008E593D" w:rsidRPr="00A72736">
        <w:rPr>
          <w:rFonts w:cs="Arial"/>
          <w:szCs w:val="24"/>
        </w:rPr>
        <w:t xml:space="preserve"> - </w:t>
      </w:r>
      <w:r w:rsidR="0070272D" w:rsidRPr="00A72736">
        <w:rPr>
          <w:rFonts w:cs="Arial"/>
          <w:szCs w:val="24"/>
        </w:rPr>
        <w:t>zu vermitteln</w:t>
      </w:r>
      <w:r w:rsidR="008E593D" w:rsidRPr="00A72736">
        <w:rPr>
          <w:rFonts w:cs="Arial"/>
          <w:szCs w:val="24"/>
        </w:rPr>
        <w:t>.</w:t>
      </w:r>
      <w:r w:rsidR="00586AC3" w:rsidRPr="00A72736">
        <w:rPr>
          <w:rFonts w:cs="Arial"/>
          <w:szCs w:val="24"/>
        </w:rPr>
        <w:t xml:space="preserve"> </w:t>
      </w:r>
    </w:p>
    <w:p w:rsidR="00526A03" w:rsidRDefault="00526A03" w:rsidP="00526A03">
      <w:pPr>
        <w:autoSpaceDE w:val="0"/>
        <w:autoSpaceDN w:val="0"/>
        <w:adjustRightInd w:val="0"/>
        <w:rPr>
          <w:rFonts w:cs="Arial"/>
          <w:szCs w:val="24"/>
        </w:rPr>
      </w:pPr>
    </w:p>
    <w:p w:rsidR="004E72CB" w:rsidRPr="00586AC3" w:rsidRDefault="009C6A84" w:rsidP="00526A03">
      <w:pPr>
        <w:autoSpaceDE w:val="0"/>
        <w:autoSpaceDN w:val="0"/>
        <w:adjustRightInd w:val="0"/>
      </w:pPr>
      <w:r w:rsidRPr="00586AC3">
        <w:t>Die Erfahrung</w:t>
      </w:r>
      <w:r w:rsidR="00936DB0" w:rsidRPr="00586AC3">
        <w:t xml:space="preserve"> </w:t>
      </w:r>
      <w:r w:rsidRPr="00586AC3">
        <w:t>aus der Praxis zeig</w:t>
      </w:r>
      <w:r w:rsidR="00936DB0" w:rsidRPr="00586AC3">
        <w:t xml:space="preserve">t, </w:t>
      </w:r>
      <w:r w:rsidRPr="00586AC3">
        <w:t>dass die Abrechnung und Dokumentation</w:t>
      </w:r>
      <w:r w:rsidR="00586AC3" w:rsidRPr="00586AC3">
        <w:t xml:space="preserve"> des Programms </w:t>
      </w:r>
      <w:r w:rsidRPr="00586AC3">
        <w:t>noch deutlich aufwendiger ist</w:t>
      </w:r>
      <w:r w:rsidR="00A526A8">
        <w:t>,</w:t>
      </w:r>
      <w:r w:rsidRPr="00586AC3">
        <w:t xml:space="preserve"> als ursprünglich angenommen</w:t>
      </w:r>
      <w:r w:rsidR="00F27BA4">
        <w:t>.</w:t>
      </w:r>
      <w:r w:rsidR="00526A03">
        <w:t xml:space="preserve"> </w:t>
      </w:r>
      <w:r w:rsidRPr="00586AC3">
        <w:t xml:space="preserve">Über den </w:t>
      </w:r>
      <w:r w:rsidR="004E72CB" w:rsidRPr="00586AC3">
        <w:t>31.12.2017</w:t>
      </w:r>
      <w:r w:rsidR="00911CFD" w:rsidRPr="00586AC3">
        <w:t xml:space="preserve"> hinaus</w:t>
      </w:r>
      <w:r w:rsidR="00586AC3" w:rsidRPr="00586AC3">
        <w:t xml:space="preserve"> sind damit </w:t>
      </w:r>
      <w:r w:rsidR="00586AC3">
        <w:t>-</w:t>
      </w:r>
      <w:r w:rsidR="00586AC3" w:rsidRPr="00586AC3">
        <w:t xml:space="preserve"> </w:t>
      </w:r>
      <w:r w:rsidR="00586AC3">
        <w:t xml:space="preserve">nach </w:t>
      </w:r>
      <w:r w:rsidR="00586AC3" w:rsidRPr="00586AC3">
        <w:t xml:space="preserve">der Planung </w:t>
      </w:r>
      <w:r w:rsidR="00911CFD" w:rsidRPr="00586AC3">
        <w:t xml:space="preserve">bis </w:t>
      </w:r>
      <w:r w:rsidR="00586AC3">
        <w:t xml:space="preserve">längstens </w:t>
      </w:r>
      <w:r w:rsidR="007A077E" w:rsidRPr="00586AC3">
        <w:t>Juni 2020</w:t>
      </w:r>
      <w:r w:rsidR="00586AC3" w:rsidRPr="00586AC3">
        <w:t xml:space="preserve"> - f</w:t>
      </w:r>
      <w:r w:rsidR="004E72CB" w:rsidRPr="00586AC3">
        <w:t>olgende Aufgaben</w:t>
      </w:r>
      <w:r w:rsidR="00586AC3" w:rsidRPr="00586AC3">
        <w:t xml:space="preserve"> </w:t>
      </w:r>
      <w:r w:rsidR="004E72CB" w:rsidRPr="00586AC3">
        <w:t>wahrzunehmen:</w:t>
      </w:r>
    </w:p>
    <w:p w:rsidR="00000815" w:rsidRDefault="00000815" w:rsidP="004E72CB"/>
    <w:p w:rsidR="003621BD" w:rsidRPr="00A526A8" w:rsidRDefault="00A526A8" w:rsidP="00F27BA4">
      <w:pPr>
        <w:pStyle w:val="Listenabsatz"/>
        <w:numPr>
          <w:ilvl w:val="0"/>
          <w:numId w:val="8"/>
        </w:numPr>
      </w:pPr>
      <w:r w:rsidRPr="00A526A8">
        <w:t>m</w:t>
      </w:r>
      <w:r w:rsidR="00000815" w:rsidRPr="00A526A8">
        <w:t>onatliche A</w:t>
      </w:r>
      <w:r w:rsidR="00EE132C" w:rsidRPr="00A526A8">
        <w:t xml:space="preserve">brechnung </w:t>
      </w:r>
      <w:r w:rsidR="00000815" w:rsidRPr="00A526A8">
        <w:t>der Lohnkostenzuschüsse an die Arbeitgeber</w:t>
      </w:r>
      <w:r w:rsidR="00124F4C" w:rsidRPr="00A526A8">
        <w:t xml:space="preserve"> inklusive der Erstellung der entsprechenden Prüfvermerke</w:t>
      </w:r>
      <w:r w:rsidRPr="00A526A8">
        <w:t>,</w:t>
      </w:r>
    </w:p>
    <w:p w:rsidR="000774E3" w:rsidRPr="00A526A8" w:rsidRDefault="00A526A8" w:rsidP="00F27BA4">
      <w:pPr>
        <w:pStyle w:val="Listenabsatz"/>
        <w:numPr>
          <w:ilvl w:val="0"/>
          <w:numId w:val="8"/>
        </w:numPr>
      </w:pPr>
      <w:r w:rsidRPr="00A526A8">
        <w:t>m</w:t>
      </w:r>
      <w:r w:rsidR="00B81086" w:rsidRPr="00A526A8">
        <w:t>onatliche Abrechnung der Maßnahmekosten für Coaching</w:t>
      </w:r>
      <w:r w:rsidRPr="00A526A8">
        <w:t>,</w:t>
      </w:r>
    </w:p>
    <w:p w:rsidR="00BB255C" w:rsidRPr="00A526A8" w:rsidRDefault="000774E3" w:rsidP="00F27BA4">
      <w:pPr>
        <w:pStyle w:val="Listenabsatz"/>
        <w:numPr>
          <w:ilvl w:val="0"/>
          <w:numId w:val="8"/>
        </w:numPr>
      </w:pPr>
      <w:r w:rsidRPr="00A526A8">
        <w:t>Abrechnung der Förderleistungen für Teilnehme</w:t>
      </w:r>
      <w:r w:rsidR="00CC5ED8" w:rsidRPr="00A526A8">
        <w:t xml:space="preserve">nde </w:t>
      </w:r>
      <w:r w:rsidRPr="00A526A8">
        <w:t>(Qualifizierungsmaßnahmen</w:t>
      </w:r>
      <w:r w:rsidR="00526A03" w:rsidRPr="00A526A8">
        <w:t>)</w:t>
      </w:r>
      <w:r w:rsidR="00A526A8" w:rsidRPr="00A526A8">
        <w:t>,</w:t>
      </w:r>
    </w:p>
    <w:p w:rsidR="00BB255C" w:rsidRPr="00A526A8" w:rsidRDefault="00BB255C" w:rsidP="00BB255C">
      <w:pPr>
        <w:pStyle w:val="Listenabsatz"/>
        <w:numPr>
          <w:ilvl w:val="0"/>
          <w:numId w:val="8"/>
        </w:numPr>
      </w:pPr>
      <w:r w:rsidRPr="00A526A8">
        <w:t>Erstell</w:t>
      </w:r>
      <w:r w:rsidR="00AE0492" w:rsidRPr="00A526A8">
        <w:t xml:space="preserve">ung </w:t>
      </w:r>
      <w:r w:rsidRPr="00A526A8">
        <w:t>von Änderungs</w:t>
      </w:r>
      <w:r w:rsidR="00124F4C" w:rsidRPr="00A526A8">
        <w:t>-, Aufhebungs- und Erstattungs- sowie Widerrufsbescheiden</w:t>
      </w:r>
      <w:r w:rsidR="00A526A8" w:rsidRPr="00A526A8">
        <w:t>,</w:t>
      </w:r>
    </w:p>
    <w:p w:rsidR="00290CEA" w:rsidRPr="00A526A8" w:rsidRDefault="00CC5ED8" w:rsidP="00F27BA4">
      <w:pPr>
        <w:pStyle w:val="Listenabsatz"/>
        <w:numPr>
          <w:ilvl w:val="0"/>
          <w:numId w:val="8"/>
        </w:numPr>
      </w:pPr>
      <w:r w:rsidRPr="00A526A8">
        <w:t xml:space="preserve">Koordination und </w:t>
      </w:r>
      <w:r w:rsidR="00526A03" w:rsidRPr="00A526A8">
        <w:t>Erfüllung der Berichtspflichten</w:t>
      </w:r>
      <w:r w:rsidR="005A75D4" w:rsidRPr="00A526A8">
        <w:t xml:space="preserve"> (Monatsnachweise, Ausgabenerklärungen, </w:t>
      </w:r>
      <w:r w:rsidR="00A526A8" w:rsidRPr="00A526A8">
        <w:t>Zwischen-/Verwendungsnachweise),</w:t>
      </w:r>
    </w:p>
    <w:p w:rsidR="00EC4387" w:rsidRPr="00A526A8" w:rsidRDefault="00EC4387" w:rsidP="00EC4387">
      <w:pPr>
        <w:pStyle w:val="Listenabsatz"/>
        <w:numPr>
          <w:ilvl w:val="0"/>
          <w:numId w:val="8"/>
        </w:numPr>
      </w:pPr>
      <w:r w:rsidRPr="00A526A8">
        <w:t>Pflege der in ZUWES erfassten Daten der Teilnehmenden</w:t>
      </w:r>
      <w:r w:rsidR="00A526A8" w:rsidRPr="00A526A8">
        <w:t>,</w:t>
      </w:r>
    </w:p>
    <w:p w:rsidR="00290CEA" w:rsidRPr="00A526A8" w:rsidRDefault="008B5BC1" w:rsidP="00290CEA">
      <w:pPr>
        <w:pStyle w:val="Listenabsatz"/>
        <w:numPr>
          <w:ilvl w:val="0"/>
          <w:numId w:val="8"/>
        </w:numPr>
      </w:pPr>
      <w:r w:rsidRPr="00A526A8">
        <w:t>Information</w:t>
      </w:r>
      <w:r w:rsidR="00AE0492" w:rsidRPr="00A526A8">
        <w:t xml:space="preserve">, </w:t>
      </w:r>
      <w:r w:rsidRPr="00A526A8">
        <w:t>Beratung</w:t>
      </w:r>
      <w:r w:rsidR="00AE0492" w:rsidRPr="00A526A8">
        <w:t xml:space="preserve"> und Unterstützung </w:t>
      </w:r>
      <w:r w:rsidRPr="00A526A8">
        <w:t>der Arbeitgeber</w:t>
      </w:r>
      <w:r w:rsidR="00DE0A80" w:rsidRPr="00A526A8">
        <w:t xml:space="preserve"> hinsichtlich der Lohnkostenzuschüsse</w:t>
      </w:r>
      <w:r w:rsidR="00EE456A" w:rsidRPr="00A526A8">
        <w:t xml:space="preserve"> und administrativen Abwicklung des Programms</w:t>
      </w:r>
      <w:r w:rsidR="00A526A8" w:rsidRPr="00A526A8">
        <w:t>,</w:t>
      </w:r>
    </w:p>
    <w:p w:rsidR="008B5BC1" w:rsidRPr="00A526A8" w:rsidRDefault="00556C00" w:rsidP="00290CEA">
      <w:pPr>
        <w:pStyle w:val="Listenabsatz"/>
        <w:numPr>
          <w:ilvl w:val="0"/>
          <w:numId w:val="8"/>
        </w:numPr>
      </w:pPr>
      <w:r w:rsidRPr="00A526A8">
        <w:t>K</w:t>
      </w:r>
      <w:r w:rsidR="008B5BC1" w:rsidRPr="00A526A8">
        <w:t>ontinuierliche</w:t>
      </w:r>
      <w:r w:rsidRPr="00A526A8">
        <w:t xml:space="preserve">r </w:t>
      </w:r>
      <w:r w:rsidR="008B5BC1" w:rsidRPr="00A526A8">
        <w:t>Austausch mit dem Bundesverwaltungsamt</w:t>
      </w:r>
      <w:r w:rsidR="00A526A8" w:rsidRPr="00A526A8">
        <w:t>,</w:t>
      </w:r>
    </w:p>
    <w:p w:rsidR="008B5BC1" w:rsidRPr="00A526A8" w:rsidRDefault="008B5BC1" w:rsidP="00290CEA">
      <w:pPr>
        <w:pStyle w:val="Listenabsatz"/>
        <w:numPr>
          <w:ilvl w:val="0"/>
          <w:numId w:val="8"/>
        </w:numPr>
      </w:pPr>
      <w:r w:rsidRPr="00A526A8">
        <w:t>Führen der Programmakten</w:t>
      </w:r>
      <w:r w:rsidR="00A526A8" w:rsidRPr="00A526A8">
        <w:t>,</w:t>
      </w:r>
    </w:p>
    <w:p w:rsidR="004D531F" w:rsidRPr="00A526A8" w:rsidRDefault="008B5BC1" w:rsidP="00CC1108">
      <w:pPr>
        <w:pStyle w:val="Listenabsatz"/>
        <w:numPr>
          <w:ilvl w:val="0"/>
          <w:numId w:val="8"/>
        </w:numPr>
      </w:pPr>
      <w:r w:rsidRPr="00A526A8">
        <w:t>Abrechnung des ergänzenden kommunalen</w:t>
      </w:r>
      <w:r w:rsidR="00DE0A80" w:rsidRPr="00A526A8">
        <w:t xml:space="preserve"> Lohnkostenzuschusses und der Eingliederungsprämien im Rahmen des kommunalen Beschäftigungsprogramms zur Verbesserung der Nahversorgung</w:t>
      </w:r>
      <w:r w:rsidR="004D531F" w:rsidRPr="00A526A8">
        <w:t xml:space="preserve"> (</w:t>
      </w:r>
      <w:r w:rsidR="00DE0A80" w:rsidRPr="00A526A8">
        <w:t>GRDrs 647/2015</w:t>
      </w:r>
      <w:r w:rsidR="00526A03" w:rsidRPr="00A526A8">
        <w:t>)</w:t>
      </w:r>
      <w:r w:rsidR="00A526A8" w:rsidRPr="00A526A8">
        <w:t>.</w:t>
      </w:r>
      <w:r w:rsidR="00526A03" w:rsidRPr="00A526A8">
        <w:br/>
      </w:r>
    </w:p>
    <w:p w:rsidR="00526A03" w:rsidRDefault="00556C00" w:rsidP="004D531F">
      <w:r>
        <w:t xml:space="preserve">Sollte </w:t>
      </w:r>
      <w:r w:rsidR="00A526A8">
        <w:t>die Ermächtigung</w:t>
      </w:r>
      <w:r>
        <w:t xml:space="preserve"> nicht verlängert werden, ist die Abrechnung und Auszahlung der oben genannten Förderleistungen </w:t>
      </w:r>
      <w:r w:rsidR="00FB0DBC">
        <w:t xml:space="preserve">nicht oder </w:t>
      </w:r>
      <w:r w:rsidR="00EC4387">
        <w:t xml:space="preserve">nur mit erheblichen Verzögerungen möglich. </w:t>
      </w:r>
    </w:p>
    <w:p w:rsidR="00526A03" w:rsidRDefault="00526A03" w:rsidP="004D531F"/>
    <w:p w:rsidR="00526A03" w:rsidRDefault="00EC4387" w:rsidP="004D531F">
      <w:r>
        <w:t>Dies</w:t>
      </w:r>
      <w:r w:rsidR="00FB0DBC">
        <w:t xml:space="preserve"> </w:t>
      </w:r>
      <w:r w:rsidR="00A526A8">
        <w:t xml:space="preserve">würde die </w:t>
      </w:r>
      <w:r w:rsidR="00CA1D2D">
        <w:t>Gefahr</w:t>
      </w:r>
      <w:r w:rsidR="00A526A8">
        <w:t xml:space="preserve"> erhöhen</w:t>
      </w:r>
      <w:r w:rsidR="00FB0DBC">
        <w:t xml:space="preserve">, </w:t>
      </w:r>
      <w:r w:rsidR="00CA1D2D">
        <w:t xml:space="preserve">dass die Arbeitgeber, die ohnehin </w:t>
      </w:r>
      <w:r w:rsidR="00E93EE2">
        <w:t xml:space="preserve">ebenfalls </w:t>
      </w:r>
      <w:r w:rsidR="00EE456A">
        <w:t xml:space="preserve">einen </w:t>
      </w:r>
      <w:r w:rsidR="00E93EE2">
        <w:t>erheblichen administrativen Aufwand haben,</w:t>
      </w:r>
      <w:r w:rsidR="00EE456A">
        <w:t xml:space="preserve"> bei nicht rechtzeitiger Zahlung der Lohnkostenzuschüsse den Teilnehmenden </w:t>
      </w:r>
      <w:r>
        <w:t>kündigen</w:t>
      </w:r>
      <w:r w:rsidR="00FB0DBC">
        <w:t xml:space="preserve">. Auch </w:t>
      </w:r>
      <w:r w:rsidR="00EE456A">
        <w:t xml:space="preserve">stünde ihnen kein </w:t>
      </w:r>
      <w:r>
        <w:t xml:space="preserve">Ansprechpartner </w:t>
      </w:r>
      <w:r w:rsidR="00EE456A">
        <w:t xml:space="preserve">mehr für ihre Fragen </w:t>
      </w:r>
      <w:r w:rsidR="00DC6055">
        <w:t xml:space="preserve">und </w:t>
      </w:r>
      <w:r w:rsidR="00BD6200">
        <w:t xml:space="preserve">zur </w:t>
      </w:r>
      <w:r w:rsidR="00DC6055">
        <w:t>weitere</w:t>
      </w:r>
      <w:r w:rsidR="00BD6200">
        <w:t>n</w:t>
      </w:r>
      <w:r w:rsidR="00DC6055">
        <w:t xml:space="preserve"> Unterstützung</w:t>
      </w:r>
      <w:r w:rsidR="00AE0492">
        <w:t xml:space="preserve"> </w:t>
      </w:r>
      <w:r w:rsidR="00EE456A">
        <w:t xml:space="preserve">zur Verfügung. </w:t>
      </w:r>
    </w:p>
    <w:p w:rsidR="00526A03" w:rsidRDefault="00526A03" w:rsidP="004D531F"/>
    <w:p w:rsidR="00526A03" w:rsidRDefault="00EE456A" w:rsidP="004D531F">
      <w:r>
        <w:t xml:space="preserve">Darüber hinaus </w:t>
      </w:r>
      <w:r w:rsidR="00EC4387">
        <w:t xml:space="preserve">könnte auch die Rechtmäßigkeit der Zuwendungen nur </w:t>
      </w:r>
      <w:r>
        <w:t xml:space="preserve">noch </w:t>
      </w:r>
      <w:r w:rsidR="00EC4387">
        <w:t xml:space="preserve">eingeschränkt geprüft werden, d. h. </w:t>
      </w:r>
      <w:r>
        <w:t>die Abwicklung wäre nicht mehr r</w:t>
      </w:r>
      <w:r w:rsidR="00EC4387">
        <w:t>evisions- bzw. prü</w:t>
      </w:r>
      <w:r w:rsidR="00EC4387" w:rsidRPr="00A72736">
        <w:t>f</w:t>
      </w:r>
      <w:r w:rsidRPr="00A72736">
        <w:t xml:space="preserve">ungssicher, </w:t>
      </w:r>
      <w:r w:rsidR="00EC4387" w:rsidRPr="00A72736">
        <w:t xml:space="preserve">was eventuelle Rückforderungen des </w:t>
      </w:r>
      <w:r w:rsidRPr="00A72736">
        <w:t>Bundesverwaltungsamts na</w:t>
      </w:r>
      <w:r w:rsidR="00EC4387" w:rsidRPr="00A72736">
        <w:t xml:space="preserve">ch </w:t>
      </w:r>
      <w:r w:rsidRPr="00A72736">
        <w:t xml:space="preserve">sich </w:t>
      </w:r>
      <w:r w:rsidR="00EC4387" w:rsidRPr="00A72736">
        <w:t>ziehen könnte</w:t>
      </w:r>
      <w:r w:rsidRPr="00A72736">
        <w:t xml:space="preserve"> und somit ein </w:t>
      </w:r>
      <w:r w:rsidR="005A679E" w:rsidRPr="00A72736">
        <w:t>finanzielles Risiko der LHS</w:t>
      </w:r>
      <w:r w:rsidRPr="00A72736">
        <w:t xml:space="preserve"> birgt. </w:t>
      </w:r>
    </w:p>
    <w:p w:rsidR="00526A03" w:rsidRDefault="00526A03" w:rsidP="004D531F"/>
    <w:p w:rsidR="005A679E" w:rsidRPr="00526A03" w:rsidRDefault="00EE456A" w:rsidP="004D531F">
      <w:r w:rsidRPr="00526A03">
        <w:t xml:space="preserve">Weiterhin </w:t>
      </w:r>
      <w:r w:rsidR="00FB0DBC" w:rsidRPr="00526A03">
        <w:t xml:space="preserve">könnten </w:t>
      </w:r>
      <w:r w:rsidRPr="00526A03">
        <w:t xml:space="preserve">auch </w:t>
      </w:r>
      <w:r w:rsidR="00EC4387" w:rsidRPr="00526A03">
        <w:t>die Berichtspflichten</w:t>
      </w:r>
      <w:r w:rsidR="00FB0DBC" w:rsidRPr="00526A03">
        <w:t xml:space="preserve"> nicht mehr im geforderten Maße erfüllt werden. </w:t>
      </w:r>
      <w:r w:rsidR="00B75559" w:rsidRPr="00526A03">
        <w:t>Insbesondere könnte der aufwendige Endverwendungsnachweis nicht mit der erforderlichen Sorgfalt</w:t>
      </w:r>
      <w:r w:rsidR="00BC0AF0" w:rsidRPr="00526A03">
        <w:t xml:space="preserve"> und ggf. nicht fristgerecht </w:t>
      </w:r>
      <w:r w:rsidR="00B75559" w:rsidRPr="00526A03">
        <w:t xml:space="preserve">erstellt werden. </w:t>
      </w:r>
      <w:r w:rsidR="00EC4387" w:rsidRPr="00526A03">
        <w:t>Insgesamt wäre damit ein erfolgreicher</w:t>
      </w:r>
      <w:r w:rsidR="00FB0DBC" w:rsidRPr="00526A03">
        <w:t xml:space="preserve"> </w:t>
      </w:r>
      <w:r w:rsidR="00EC4387" w:rsidRPr="00526A03">
        <w:t>Verlauf</w:t>
      </w:r>
      <w:r w:rsidR="00FB0DBC" w:rsidRPr="00526A03">
        <w:t xml:space="preserve"> und </w:t>
      </w:r>
      <w:r w:rsidR="00EC4387" w:rsidRPr="00526A03">
        <w:t>Abschluss des Programms gefährdet.</w:t>
      </w:r>
    </w:p>
    <w:p w:rsidR="00FB0DBC" w:rsidRDefault="00FB0DBC" w:rsidP="004D531F"/>
    <w:p w:rsidR="00A526A8" w:rsidRDefault="00A526A8" w:rsidP="004D531F"/>
    <w:p w:rsidR="00526A03" w:rsidRDefault="00526A03" w:rsidP="004D531F"/>
    <w:p w:rsidR="00A526A8" w:rsidRPr="00A526A8" w:rsidRDefault="00A526A8" w:rsidP="004D531F">
      <w:pPr>
        <w:rPr>
          <w:b/>
          <w:u w:val="single"/>
        </w:rPr>
      </w:pPr>
      <w:r w:rsidRPr="00A526A8">
        <w:rPr>
          <w:b/>
          <w:u w:val="single"/>
        </w:rPr>
        <w:lastRenderedPageBreak/>
        <w:t>Finanzierung der Ermächtigung</w:t>
      </w:r>
      <w:r>
        <w:rPr>
          <w:b/>
          <w:u w:val="single"/>
        </w:rPr>
        <w:t>:</w:t>
      </w:r>
    </w:p>
    <w:p w:rsidR="00A526A8" w:rsidRDefault="00A526A8" w:rsidP="004D531F"/>
    <w:p w:rsidR="001722C2" w:rsidRDefault="00A526A8" w:rsidP="004D531F">
      <w:r>
        <w:t>Die Ermächtigung</w:t>
      </w:r>
      <w:r w:rsidR="005A679E">
        <w:t xml:space="preserve"> beinhaltet 50 Prozent operative und 50 Prozent nicht operative Anteile. </w:t>
      </w:r>
      <w:r w:rsidR="00FF4D77">
        <w:t xml:space="preserve">Gemäß Kommunalträger-Abrechnungsverwaltungsvorschrift (KoA-VV) erfolgt die Abrechnung der Personalkosten operativer </w:t>
      </w:r>
      <w:r w:rsidR="006339A5">
        <w:t>Stellen</w:t>
      </w:r>
      <w:bookmarkStart w:id="0" w:name="_GoBack"/>
      <w:bookmarkEnd w:id="0"/>
      <w:r w:rsidR="00B53B93">
        <w:t xml:space="preserve"> </w:t>
      </w:r>
      <w:r w:rsidR="00FF4D77">
        <w:t xml:space="preserve">mit dem Bund spitz, für die Personalneben-, Sach- und Gemeinkosten werden Pauschalen zugrunde gelegt. </w:t>
      </w:r>
      <w:r w:rsidR="00B53B93">
        <w:t>Der Anteil des Bundes an den Kosten beträgt 84,8 Prozent, der kommunale Finanzierungsanteil (KFA) beträgt 15,2 Prozent. Der jährliche kostenwirksame Aufwand</w:t>
      </w:r>
      <w:r w:rsidR="00403CEE">
        <w:t xml:space="preserve"> der Personal- und Sachkosten</w:t>
      </w:r>
      <w:r w:rsidR="00B53B93">
        <w:t xml:space="preserve">, der bei der LHS entsteht, beträgt </w:t>
      </w:r>
      <w:r w:rsidR="00B53B93" w:rsidRPr="00403CEE">
        <w:t>73.500 Euro</w:t>
      </w:r>
      <w:r w:rsidR="00B53B93">
        <w:t xml:space="preserve"> (gemäß Rundschreiben Nr. 015/2015 - Kosten eines Arbeitsplatzes). Die Erstattung des Bundes beläuft sich auf rund 38.900 Euro</w:t>
      </w:r>
      <w:r w:rsidR="00A0399F">
        <w:t xml:space="preserve">. Somit sind </w:t>
      </w:r>
      <w:r w:rsidR="00A0399F" w:rsidRPr="00A72736">
        <w:t xml:space="preserve">34.600 Euro kommunal zu finanzieren. </w:t>
      </w:r>
    </w:p>
    <w:p w:rsidR="00526A03" w:rsidRPr="00A526A8" w:rsidRDefault="00526A03" w:rsidP="004D531F">
      <w:pPr>
        <w:rPr>
          <w:rFonts w:cs="Arial"/>
          <w:iCs/>
          <w:szCs w:val="24"/>
        </w:rPr>
      </w:pPr>
    </w:p>
    <w:p w:rsidR="001722C2" w:rsidRDefault="007B1398" w:rsidP="004D531F">
      <w:pPr>
        <w:rPr>
          <w:rFonts w:cs="Arial"/>
          <w:iCs/>
          <w:szCs w:val="24"/>
        </w:rPr>
      </w:pPr>
      <w:r w:rsidRPr="00A526A8">
        <w:rPr>
          <w:rFonts w:cs="Arial"/>
          <w:iCs/>
          <w:szCs w:val="24"/>
        </w:rPr>
        <w:t>Der ungedeckte jährliche Aufwand von 34.600 Euro (insgesamt 69.200 Euro für den</w:t>
      </w:r>
      <w:r w:rsidRPr="00526A03">
        <w:rPr>
          <w:rFonts w:cs="Arial"/>
          <w:iCs/>
          <w:szCs w:val="24"/>
        </w:rPr>
        <w:t xml:space="preserve"> Zeitraum vom 01.01.2018 bis 31.12.2019) wird gedeckt aus den im Rahmen des Programms eingesparten Leistungen für Unterkunft und Heizung (KdU). Unter der Annahme, dass es sich - wie bei den bisherigen Teilnehmenden - in 50 Prozent der Fälle um eine Ein-Personen-BG handelt und somit die vollen Unterkunftskosten eingespart werden können, werden die Einsparungen in 2018 auf 136.000 Euro und in 2019 auf 52.000 Euro geschätzt.</w:t>
      </w:r>
    </w:p>
    <w:p w:rsidR="00B77718" w:rsidRDefault="00B77718" w:rsidP="004D531F">
      <w:pPr>
        <w:rPr>
          <w:rFonts w:cs="Arial"/>
          <w:iCs/>
          <w:szCs w:val="24"/>
        </w:rPr>
      </w:pPr>
    </w:p>
    <w:p w:rsidR="00B77718" w:rsidRPr="00526A03" w:rsidRDefault="00B77718" w:rsidP="004D531F">
      <w:pPr>
        <w:rPr>
          <w:rFonts w:cs="Arial"/>
          <w:iCs/>
          <w:szCs w:val="24"/>
        </w:rPr>
      </w:pPr>
      <w:r>
        <w:rPr>
          <w:rFonts w:cs="Arial"/>
          <w:iCs/>
          <w:szCs w:val="24"/>
        </w:rPr>
        <w:t>Die Verlängerung der Ermächtigung wäre somit haushaltsneutral umzusetzen.</w:t>
      </w:r>
    </w:p>
    <w:p w:rsidR="007B1398" w:rsidRPr="007B1398" w:rsidRDefault="007B1398" w:rsidP="004D531F">
      <w:pPr>
        <w:rPr>
          <w:rFonts w:cs="Arial"/>
          <w:i/>
          <w:iCs/>
          <w:color w:val="000000"/>
          <w:szCs w:val="24"/>
        </w:rPr>
      </w:pPr>
    </w:p>
    <w:sectPr w:rsidR="007B1398" w:rsidRPr="007B1398"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41" w:rsidRDefault="00342541">
      <w:r>
        <w:separator/>
      </w:r>
    </w:p>
  </w:endnote>
  <w:endnote w:type="continuationSeparator" w:id="0">
    <w:p w:rsidR="00342541" w:rsidRDefault="0034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41" w:rsidRDefault="00342541">
      <w:r>
        <w:separator/>
      </w:r>
    </w:p>
  </w:footnote>
  <w:footnote w:type="continuationSeparator" w:id="0">
    <w:p w:rsidR="00342541" w:rsidRDefault="0034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20" w:rsidRDefault="00365E20">
    <w:pPr>
      <w:framePr w:wrap="around" w:vAnchor="page" w:hAnchor="page" w:xAlign="center" w:y="710"/>
      <w:rPr>
        <w:rStyle w:val="Seitenzahl"/>
      </w:rPr>
    </w:pPr>
    <w:r>
      <w:rPr>
        <w:rStyle w:val="Seitenzahl"/>
      </w:rPr>
      <w:t xml:space="preserve">- </w:t>
    </w:r>
    <w:r w:rsidR="009B4216">
      <w:rPr>
        <w:rStyle w:val="Seitenzahl"/>
      </w:rPr>
      <w:fldChar w:fldCharType="begin"/>
    </w:r>
    <w:r>
      <w:rPr>
        <w:rStyle w:val="Seitenzahl"/>
      </w:rPr>
      <w:instrText xml:space="preserve"> PAGE </w:instrText>
    </w:r>
    <w:r w:rsidR="009B4216">
      <w:rPr>
        <w:rStyle w:val="Seitenzahl"/>
      </w:rPr>
      <w:fldChar w:fldCharType="separate"/>
    </w:r>
    <w:r w:rsidR="006339A5">
      <w:rPr>
        <w:rStyle w:val="Seitenzahl"/>
        <w:noProof/>
      </w:rPr>
      <w:t>2</w:t>
    </w:r>
    <w:r w:rsidR="009B4216">
      <w:rPr>
        <w:rStyle w:val="Seitenzahl"/>
      </w:rPr>
      <w:fldChar w:fldCharType="end"/>
    </w:r>
    <w:r>
      <w:rPr>
        <w:rStyle w:val="Seitenzahl"/>
      </w:rPr>
      <w:t xml:space="preserve"> -</w:t>
    </w:r>
  </w:p>
  <w:p w:rsidR="00365E20" w:rsidRDefault="00365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7A85433"/>
    <w:multiLevelType w:val="multilevel"/>
    <w:tmpl w:val="02A4B56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A57E4B"/>
    <w:multiLevelType w:val="hybridMultilevel"/>
    <w:tmpl w:val="A016D6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B9D06D8"/>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00815"/>
    <w:rsid w:val="0001682E"/>
    <w:rsid w:val="0005299A"/>
    <w:rsid w:val="000774E3"/>
    <w:rsid w:val="0009609D"/>
    <w:rsid w:val="000A1146"/>
    <w:rsid w:val="000D584D"/>
    <w:rsid w:val="000D6946"/>
    <w:rsid w:val="000E4C4B"/>
    <w:rsid w:val="000E7852"/>
    <w:rsid w:val="000F6672"/>
    <w:rsid w:val="00124F4C"/>
    <w:rsid w:val="001369BB"/>
    <w:rsid w:val="00136BAC"/>
    <w:rsid w:val="00153F44"/>
    <w:rsid w:val="00156A12"/>
    <w:rsid w:val="00162F1F"/>
    <w:rsid w:val="00165C0D"/>
    <w:rsid w:val="001722C2"/>
    <w:rsid w:val="0017441D"/>
    <w:rsid w:val="00177561"/>
    <w:rsid w:val="00181578"/>
    <w:rsid w:val="00181857"/>
    <w:rsid w:val="00193A16"/>
    <w:rsid w:val="001A114A"/>
    <w:rsid w:val="001C06BD"/>
    <w:rsid w:val="001D2FD2"/>
    <w:rsid w:val="001F78AC"/>
    <w:rsid w:val="00213C7A"/>
    <w:rsid w:val="00215971"/>
    <w:rsid w:val="00224DED"/>
    <w:rsid w:val="002402DD"/>
    <w:rsid w:val="002812E4"/>
    <w:rsid w:val="002863C4"/>
    <w:rsid w:val="00290CEA"/>
    <w:rsid w:val="00291BBC"/>
    <w:rsid w:val="002924CB"/>
    <w:rsid w:val="002C03BA"/>
    <w:rsid w:val="002C2ECA"/>
    <w:rsid w:val="002C4E42"/>
    <w:rsid w:val="002E14E4"/>
    <w:rsid w:val="002E442C"/>
    <w:rsid w:val="002F13B3"/>
    <w:rsid w:val="00316B24"/>
    <w:rsid w:val="00323142"/>
    <w:rsid w:val="00342541"/>
    <w:rsid w:val="003621BD"/>
    <w:rsid w:val="00365E20"/>
    <w:rsid w:val="00394BB8"/>
    <w:rsid w:val="003B0902"/>
    <w:rsid w:val="003B236A"/>
    <w:rsid w:val="003B4312"/>
    <w:rsid w:val="003D7B0B"/>
    <w:rsid w:val="00403CEE"/>
    <w:rsid w:val="004054DF"/>
    <w:rsid w:val="0042766E"/>
    <w:rsid w:val="00436B6D"/>
    <w:rsid w:val="004454BA"/>
    <w:rsid w:val="004B0C43"/>
    <w:rsid w:val="004B6796"/>
    <w:rsid w:val="004C29BD"/>
    <w:rsid w:val="004D531F"/>
    <w:rsid w:val="004E72CB"/>
    <w:rsid w:val="004F5F3C"/>
    <w:rsid w:val="00502AC3"/>
    <w:rsid w:val="00505409"/>
    <w:rsid w:val="00524764"/>
    <w:rsid w:val="00526A03"/>
    <w:rsid w:val="00556C00"/>
    <w:rsid w:val="00557775"/>
    <w:rsid w:val="005676C7"/>
    <w:rsid w:val="00582233"/>
    <w:rsid w:val="00586AC3"/>
    <w:rsid w:val="005A679E"/>
    <w:rsid w:val="005A75D4"/>
    <w:rsid w:val="005C594A"/>
    <w:rsid w:val="0061186D"/>
    <w:rsid w:val="00616A12"/>
    <w:rsid w:val="006207E6"/>
    <w:rsid w:val="006339A5"/>
    <w:rsid w:val="00683711"/>
    <w:rsid w:val="00694161"/>
    <w:rsid w:val="006A553D"/>
    <w:rsid w:val="006A62BF"/>
    <w:rsid w:val="006B7D01"/>
    <w:rsid w:val="006E0575"/>
    <w:rsid w:val="0070272D"/>
    <w:rsid w:val="00723653"/>
    <w:rsid w:val="007367F3"/>
    <w:rsid w:val="00753597"/>
    <w:rsid w:val="007A077E"/>
    <w:rsid w:val="007B1398"/>
    <w:rsid w:val="007B57B1"/>
    <w:rsid w:val="007F1EF0"/>
    <w:rsid w:val="00834EB2"/>
    <w:rsid w:val="008374D0"/>
    <w:rsid w:val="00852C46"/>
    <w:rsid w:val="00884D6C"/>
    <w:rsid w:val="00887E60"/>
    <w:rsid w:val="00890208"/>
    <w:rsid w:val="008A6A07"/>
    <w:rsid w:val="008B5BC1"/>
    <w:rsid w:val="008E0257"/>
    <w:rsid w:val="008E593D"/>
    <w:rsid w:val="00911CFD"/>
    <w:rsid w:val="00936DB0"/>
    <w:rsid w:val="009B4216"/>
    <w:rsid w:val="009C6A84"/>
    <w:rsid w:val="009D7605"/>
    <w:rsid w:val="009E2282"/>
    <w:rsid w:val="009F4B9D"/>
    <w:rsid w:val="00A0399F"/>
    <w:rsid w:val="00A34898"/>
    <w:rsid w:val="00A509C5"/>
    <w:rsid w:val="00A526A8"/>
    <w:rsid w:val="00A52824"/>
    <w:rsid w:val="00A72736"/>
    <w:rsid w:val="00A77F1E"/>
    <w:rsid w:val="00A833A7"/>
    <w:rsid w:val="00A84D44"/>
    <w:rsid w:val="00AE0492"/>
    <w:rsid w:val="00AE10D7"/>
    <w:rsid w:val="00B04290"/>
    <w:rsid w:val="00B12CC2"/>
    <w:rsid w:val="00B30638"/>
    <w:rsid w:val="00B53B93"/>
    <w:rsid w:val="00B66C18"/>
    <w:rsid w:val="00B75559"/>
    <w:rsid w:val="00B77718"/>
    <w:rsid w:val="00B80DEF"/>
    <w:rsid w:val="00B81086"/>
    <w:rsid w:val="00BB255C"/>
    <w:rsid w:val="00BC0AF0"/>
    <w:rsid w:val="00BD6200"/>
    <w:rsid w:val="00BF7FFD"/>
    <w:rsid w:val="00C008E7"/>
    <w:rsid w:val="00C01B7A"/>
    <w:rsid w:val="00C03B81"/>
    <w:rsid w:val="00C0571D"/>
    <w:rsid w:val="00C074C7"/>
    <w:rsid w:val="00C448D3"/>
    <w:rsid w:val="00C6569F"/>
    <w:rsid w:val="00C752F1"/>
    <w:rsid w:val="00C756F3"/>
    <w:rsid w:val="00C91E57"/>
    <w:rsid w:val="00C95A79"/>
    <w:rsid w:val="00CA1D2D"/>
    <w:rsid w:val="00CB58AF"/>
    <w:rsid w:val="00CC0ED0"/>
    <w:rsid w:val="00CC3700"/>
    <w:rsid w:val="00CC5ED8"/>
    <w:rsid w:val="00CC78C7"/>
    <w:rsid w:val="00CF7EF0"/>
    <w:rsid w:val="00D23C71"/>
    <w:rsid w:val="00D24277"/>
    <w:rsid w:val="00D25482"/>
    <w:rsid w:val="00D35E7D"/>
    <w:rsid w:val="00D46290"/>
    <w:rsid w:val="00D73186"/>
    <w:rsid w:val="00D85EA0"/>
    <w:rsid w:val="00D92004"/>
    <w:rsid w:val="00D92FA8"/>
    <w:rsid w:val="00DC6055"/>
    <w:rsid w:val="00DC60A4"/>
    <w:rsid w:val="00DD62A2"/>
    <w:rsid w:val="00DE0A80"/>
    <w:rsid w:val="00E00718"/>
    <w:rsid w:val="00E1162F"/>
    <w:rsid w:val="00E11D5F"/>
    <w:rsid w:val="00E31D0C"/>
    <w:rsid w:val="00E441FB"/>
    <w:rsid w:val="00E80A87"/>
    <w:rsid w:val="00E93EE2"/>
    <w:rsid w:val="00E97E05"/>
    <w:rsid w:val="00EA28A7"/>
    <w:rsid w:val="00EC4387"/>
    <w:rsid w:val="00EC78CB"/>
    <w:rsid w:val="00EE132C"/>
    <w:rsid w:val="00EE456A"/>
    <w:rsid w:val="00EF0CA5"/>
    <w:rsid w:val="00EF4BCB"/>
    <w:rsid w:val="00F14EEB"/>
    <w:rsid w:val="00F27657"/>
    <w:rsid w:val="00F27BA4"/>
    <w:rsid w:val="00F3775A"/>
    <w:rsid w:val="00F7755B"/>
    <w:rsid w:val="00F85650"/>
    <w:rsid w:val="00FB0DBC"/>
    <w:rsid w:val="00FC24F0"/>
    <w:rsid w:val="00FE227D"/>
    <w:rsid w:val="00FE4615"/>
    <w:rsid w:val="00FF472B"/>
    <w:rsid w:val="00FF4D77"/>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FCD1E"/>
  <w15:docId w15:val="{15F088AC-6A3A-4F78-B78E-7E56ECE6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CC78C7"/>
    <w:pPr>
      <w:keepNext/>
      <w:spacing w:before="240" w:after="60"/>
      <w:outlineLvl w:val="2"/>
    </w:pPr>
    <w:rPr>
      <w:b/>
    </w:rPr>
  </w:style>
  <w:style w:type="paragraph" w:styleId="berschrift4">
    <w:name w:val="heading 4"/>
    <w:basedOn w:val="Standard"/>
    <w:next w:val="Standard"/>
    <w:qFormat/>
    <w:rsid w:val="00CC78C7"/>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CC78C7"/>
    <w:rPr>
      <w:sz w:val="16"/>
    </w:rPr>
  </w:style>
  <w:style w:type="paragraph" w:styleId="Kommentartext">
    <w:name w:val="annotation text"/>
    <w:basedOn w:val="Standard"/>
    <w:semiHidden/>
    <w:rsid w:val="00CC78C7"/>
    <w:rPr>
      <w:sz w:val="20"/>
    </w:rPr>
  </w:style>
  <w:style w:type="paragraph" w:styleId="Fuzeile">
    <w:name w:val="footer"/>
    <w:basedOn w:val="Standard"/>
    <w:rsid w:val="00CC78C7"/>
    <w:pPr>
      <w:tabs>
        <w:tab w:val="center" w:pos="4819"/>
        <w:tab w:val="right" w:pos="9071"/>
      </w:tabs>
    </w:pPr>
  </w:style>
  <w:style w:type="paragraph" w:styleId="Kopfzeile">
    <w:name w:val="header"/>
    <w:basedOn w:val="Standard"/>
    <w:rsid w:val="00CC78C7"/>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00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81987-7E83-4B49-A764-2B30E287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F11C3383.dotm</Template>
  <TotalTime>0</TotalTime>
  <Pages>3</Pages>
  <Words>858</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Verlängerung eines Stellenvermerks zum Stellenplan</vt:lpstr>
    </vt:vector>
  </TitlesOfParts>
  <Company>LHS</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Verlängerung eines Stellenvermerks zum Stellenplan</dc:title>
  <dc:subject>Musterformular für das Stellenplanverfahren 2012/2013</dc:subject>
  <dc:creator>10-3</dc:creator>
  <cp:keywords/>
  <dc:description/>
  <cp:lastModifiedBy>U103007</cp:lastModifiedBy>
  <cp:revision>6</cp:revision>
  <cp:lastPrinted>2017-09-18T16:21:00Z</cp:lastPrinted>
  <dcterms:created xsi:type="dcterms:W3CDTF">2017-08-31T13:58:00Z</dcterms:created>
  <dcterms:modified xsi:type="dcterms:W3CDTF">2017-09-18T16:22:00Z</dcterms:modified>
</cp:coreProperties>
</file>