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D9" w:rsidRDefault="009E4ED9">
      <w:pPr>
        <w:pStyle w:val="berschrift1"/>
        <w:jc w:val="center"/>
        <w:rPr>
          <w:caps/>
        </w:rPr>
      </w:pPr>
      <w:r>
        <w:rPr>
          <w:caps/>
        </w:rPr>
        <w:t>Lagebe</w:t>
      </w:r>
      <w:r w:rsidR="00012396">
        <w:rPr>
          <w:caps/>
        </w:rPr>
        <w:t xml:space="preserve">richt für das </w:t>
      </w:r>
      <w:r w:rsidR="00D8406F">
        <w:rPr>
          <w:caps/>
        </w:rPr>
        <w:t>Wirtschaftsjahr</w:t>
      </w:r>
      <w:r w:rsidR="00B31AB1">
        <w:rPr>
          <w:caps/>
        </w:rPr>
        <w:t xml:space="preserve"> 2013</w:t>
      </w:r>
    </w:p>
    <w:p w:rsidR="009E4ED9" w:rsidRDefault="009E4ED9">
      <w:pPr>
        <w:pStyle w:val="Formatvorlage1"/>
        <w:tabs>
          <w:tab w:val="clear" w:pos="709"/>
        </w:tabs>
        <w:spacing w:line="120" w:lineRule="auto"/>
      </w:pPr>
    </w:p>
    <w:p w:rsidR="009E4ED9" w:rsidRDefault="009B34FE">
      <w:pPr>
        <w:pStyle w:val="Textkrper"/>
        <w:rPr>
          <w:sz w:val="22"/>
        </w:rPr>
      </w:pPr>
      <w:r>
        <w:rPr>
          <w:sz w:val="22"/>
        </w:rPr>
        <w:t>In</w:t>
      </w:r>
      <w:r w:rsidR="00147D23">
        <w:rPr>
          <w:sz w:val="22"/>
        </w:rPr>
        <w:t xml:space="preserve"> 2013</w:t>
      </w:r>
      <w:r w:rsidR="002114C4" w:rsidRPr="00147D23">
        <w:rPr>
          <w:sz w:val="22"/>
        </w:rPr>
        <w:t xml:space="preserve"> </w:t>
      </w:r>
      <w:r w:rsidR="00056FC0" w:rsidRPr="00147D23">
        <w:rPr>
          <w:sz w:val="22"/>
        </w:rPr>
        <w:t>hat der Eigenbetrieb Stadtentwässerung Stuttgart</w:t>
      </w:r>
      <w:r w:rsidR="002114C4" w:rsidRPr="00147D23">
        <w:rPr>
          <w:sz w:val="22"/>
        </w:rPr>
        <w:t xml:space="preserve"> </w:t>
      </w:r>
      <w:r w:rsidR="00AA50D4">
        <w:rPr>
          <w:sz w:val="22"/>
        </w:rPr>
        <w:t xml:space="preserve">das geplante </w:t>
      </w:r>
      <w:r w:rsidR="0045154F" w:rsidRPr="00147D23">
        <w:rPr>
          <w:sz w:val="22"/>
        </w:rPr>
        <w:t>Jahreserge</w:t>
      </w:r>
      <w:r w:rsidR="0045154F" w:rsidRPr="00147D23">
        <w:rPr>
          <w:sz w:val="22"/>
        </w:rPr>
        <w:t>b</w:t>
      </w:r>
      <w:r w:rsidR="0045154F" w:rsidRPr="00147D23">
        <w:rPr>
          <w:sz w:val="22"/>
        </w:rPr>
        <w:t xml:space="preserve">nis </w:t>
      </w:r>
      <w:r w:rsidR="00AA50D4">
        <w:rPr>
          <w:sz w:val="22"/>
        </w:rPr>
        <w:t>mit</w:t>
      </w:r>
      <w:r w:rsidR="00AA50D4" w:rsidRPr="00AA50D4">
        <w:rPr>
          <w:sz w:val="22"/>
        </w:rPr>
        <w:t xml:space="preserve"> 6,17</w:t>
      </w:r>
      <w:r w:rsidR="00AA50D4">
        <w:rPr>
          <w:sz w:val="22"/>
        </w:rPr>
        <w:t xml:space="preserve"> Mio. EUR </w:t>
      </w:r>
      <w:r>
        <w:rPr>
          <w:sz w:val="22"/>
        </w:rPr>
        <w:t xml:space="preserve">fast vollständig </w:t>
      </w:r>
      <w:r w:rsidR="002114C4" w:rsidRPr="00147D23">
        <w:rPr>
          <w:sz w:val="22"/>
        </w:rPr>
        <w:t>er</w:t>
      </w:r>
      <w:r w:rsidR="00056FC0" w:rsidRPr="00147D23">
        <w:rPr>
          <w:sz w:val="22"/>
        </w:rPr>
        <w:t>reicht</w:t>
      </w:r>
      <w:r w:rsidR="002114C4" w:rsidRPr="00147D23">
        <w:rPr>
          <w:sz w:val="22"/>
        </w:rPr>
        <w:t xml:space="preserve">. </w:t>
      </w:r>
      <w:r>
        <w:rPr>
          <w:sz w:val="22"/>
        </w:rPr>
        <w:t>Dabei lagen sowohl die Aufwendungen aber auch die Erträge leicht über den Wirtschaftsplanzahlen und den Vorjahreszahlen.</w:t>
      </w:r>
      <w:r w:rsidR="007C337F">
        <w:rPr>
          <w:sz w:val="22"/>
        </w:rPr>
        <w:t xml:space="preserve"> </w:t>
      </w:r>
      <w:r w:rsidR="000C64C5" w:rsidRPr="000C64C5">
        <w:rPr>
          <w:sz w:val="22"/>
        </w:rPr>
        <w:t xml:space="preserve">Insgesamt verlief das </w:t>
      </w:r>
      <w:r w:rsidR="000C64C5">
        <w:rPr>
          <w:sz w:val="22"/>
        </w:rPr>
        <w:t>Wirtschaftsjahr</w:t>
      </w:r>
      <w:r w:rsidR="000C64C5" w:rsidRPr="000C64C5">
        <w:rPr>
          <w:sz w:val="22"/>
        </w:rPr>
        <w:t xml:space="preserve"> zufriedenstellend.</w:t>
      </w:r>
      <w:r w:rsidR="00651766">
        <w:rPr>
          <w:sz w:val="22"/>
        </w:rPr>
        <w:t xml:space="preserve"> </w:t>
      </w:r>
      <w:r>
        <w:rPr>
          <w:sz w:val="22"/>
        </w:rPr>
        <w:t>Der wichtigste Einflussfak</w:t>
      </w:r>
      <w:r w:rsidR="00651766">
        <w:rPr>
          <w:sz w:val="22"/>
        </w:rPr>
        <w:t xml:space="preserve">tor </w:t>
      </w:r>
      <w:r>
        <w:rPr>
          <w:sz w:val="22"/>
        </w:rPr>
        <w:t>der Ertragsseite</w:t>
      </w:r>
      <w:r w:rsidR="006C33E2">
        <w:rPr>
          <w:sz w:val="22"/>
        </w:rPr>
        <w:t>,</w:t>
      </w:r>
      <w:r>
        <w:rPr>
          <w:sz w:val="22"/>
        </w:rPr>
        <w:t xml:space="preserve"> </w:t>
      </w:r>
      <w:r w:rsidR="007C337F">
        <w:rPr>
          <w:sz w:val="22"/>
        </w:rPr>
        <w:t>die Schmutzwassermenge</w:t>
      </w:r>
      <w:r w:rsidR="006C33E2">
        <w:rPr>
          <w:sz w:val="22"/>
        </w:rPr>
        <w:t>,</w:t>
      </w:r>
      <w:r w:rsidR="007C337F">
        <w:rPr>
          <w:sz w:val="22"/>
        </w:rPr>
        <w:t xml:space="preserve"> war </w:t>
      </w:r>
      <w:r w:rsidR="0021075B">
        <w:rPr>
          <w:sz w:val="22"/>
        </w:rPr>
        <w:t>zum</w:t>
      </w:r>
      <w:r w:rsidR="007C337F">
        <w:rPr>
          <w:sz w:val="22"/>
        </w:rPr>
        <w:t xml:space="preserve"> Jahresa</w:t>
      </w:r>
      <w:r w:rsidR="0021075B">
        <w:rPr>
          <w:sz w:val="22"/>
        </w:rPr>
        <w:t>b</w:t>
      </w:r>
      <w:r w:rsidR="007C337F">
        <w:rPr>
          <w:sz w:val="22"/>
        </w:rPr>
        <w:t>schluss 2013 um 0,6% niedriger als</w:t>
      </w:r>
      <w:r w:rsidR="007C337F" w:rsidRPr="00147D23">
        <w:rPr>
          <w:sz w:val="22"/>
        </w:rPr>
        <w:t xml:space="preserve"> </w:t>
      </w:r>
      <w:r w:rsidR="007C337F">
        <w:rPr>
          <w:sz w:val="22"/>
        </w:rPr>
        <w:t xml:space="preserve">ursprünglich </w:t>
      </w:r>
      <w:r w:rsidR="007C337F" w:rsidRPr="00147D23">
        <w:rPr>
          <w:sz w:val="22"/>
        </w:rPr>
        <w:t xml:space="preserve">geplant </w:t>
      </w:r>
      <w:r w:rsidR="007C337F">
        <w:rPr>
          <w:sz w:val="22"/>
        </w:rPr>
        <w:t>und um 2,1%</w:t>
      </w:r>
      <w:r w:rsidR="007C337F" w:rsidRPr="00147D23">
        <w:rPr>
          <w:sz w:val="22"/>
        </w:rPr>
        <w:t xml:space="preserve"> niedriger als </w:t>
      </w:r>
      <w:r w:rsidR="007C337F">
        <w:rPr>
          <w:sz w:val="22"/>
        </w:rPr>
        <w:t>die Vorjahresmenge. In 2013 lag die</w:t>
      </w:r>
      <w:r w:rsidR="006C33E2">
        <w:rPr>
          <w:sz w:val="22"/>
        </w:rPr>
        <w:t>s</w:t>
      </w:r>
      <w:r w:rsidR="007C337F">
        <w:rPr>
          <w:sz w:val="22"/>
        </w:rPr>
        <w:t xml:space="preserve"> im Wesentlichen an Wassereinsparungen im Bereich der Industrie. Auf der Aufwandseite </w:t>
      </w:r>
      <w:r w:rsidR="00135BF2">
        <w:rPr>
          <w:sz w:val="22"/>
        </w:rPr>
        <w:t>trugen ein</w:t>
      </w:r>
      <w:r w:rsidR="00135BF2" w:rsidRPr="00135BF2">
        <w:rPr>
          <w:sz w:val="22"/>
        </w:rPr>
        <w:t xml:space="preserve"> </w:t>
      </w:r>
      <w:r w:rsidR="00135BF2">
        <w:rPr>
          <w:sz w:val="22"/>
        </w:rPr>
        <w:t>deutlich gesunkener Strombe</w:t>
      </w:r>
      <w:r w:rsidR="00135BF2" w:rsidRPr="00135BF2">
        <w:rPr>
          <w:sz w:val="22"/>
        </w:rPr>
        <w:t xml:space="preserve">darf </w:t>
      </w:r>
      <w:r w:rsidR="00947431">
        <w:rPr>
          <w:sz w:val="22"/>
        </w:rPr>
        <w:t>durch optimierte E</w:t>
      </w:r>
      <w:r w:rsidR="00947431">
        <w:rPr>
          <w:sz w:val="22"/>
        </w:rPr>
        <w:t>i</w:t>
      </w:r>
      <w:r w:rsidR="00947431">
        <w:rPr>
          <w:sz w:val="22"/>
        </w:rPr>
        <w:t xml:space="preserve">generzeugung </w:t>
      </w:r>
      <w:r w:rsidR="00135BF2" w:rsidRPr="00135BF2">
        <w:rPr>
          <w:sz w:val="22"/>
        </w:rPr>
        <w:t>und das weiterhin günstige Z</w:t>
      </w:r>
      <w:r w:rsidR="00135BF2">
        <w:rPr>
          <w:sz w:val="22"/>
        </w:rPr>
        <w:t xml:space="preserve">insniveau </w:t>
      </w:r>
      <w:r w:rsidR="0021075B">
        <w:rPr>
          <w:sz w:val="22"/>
        </w:rPr>
        <w:t xml:space="preserve">dazu bei, </w:t>
      </w:r>
      <w:r w:rsidR="00135BF2" w:rsidRPr="00135BF2">
        <w:rPr>
          <w:sz w:val="22"/>
        </w:rPr>
        <w:t>das geplante Jahre</w:t>
      </w:r>
      <w:r w:rsidR="00135BF2" w:rsidRPr="00135BF2">
        <w:rPr>
          <w:sz w:val="22"/>
        </w:rPr>
        <w:t>s</w:t>
      </w:r>
      <w:r w:rsidR="00135BF2" w:rsidRPr="00135BF2">
        <w:rPr>
          <w:sz w:val="22"/>
        </w:rPr>
        <w:t xml:space="preserve">ergebnis </w:t>
      </w:r>
      <w:r w:rsidR="0021075B">
        <w:rPr>
          <w:sz w:val="22"/>
        </w:rPr>
        <w:t>zu erreichen</w:t>
      </w:r>
      <w:r w:rsidR="00135BF2">
        <w:rPr>
          <w:sz w:val="22"/>
        </w:rPr>
        <w:t>. Mit Investitionen von 40,34</w:t>
      </w:r>
      <w:r w:rsidR="00135BF2" w:rsidRPr="00147D23">
        <w:rPr>
          <w:sz w:val="22"/>
        </w:rPr>
        <w:t xml:space="preserve"> Mio. EUR</w:t>
      </w:r>
      <w:r w:rsidR="00135BF2">
        <w:rPr>
          <w:sz w:val="22"/>
        </w:rPr>
        <w:t xml:space="preserve"> konnte auch in 2013 ein guter Beitrag zum </w:t>
      </w:r>
      <w:r w:rsidR="00135BF2" w:rsidRPr="00147D23">
        <w:rPr>
          <w:sz w:val="22"/>
        </w:rPr>
        <w:t>Erhalt</w:t>
      </w:r>
      <w:r w:rsidR="00135BF2">
        <w:rPr>
          <w:sz w:val="22"/>
        </w:rPr>
        <w:t xml:space="preserve"> und zur Modernisierung </w:t>
      </w:r>
      <w:r w:rsidR="00135BF2" w:rsidRPr="00147D23">
        <w:rPr>
          <w:sz w:val="22"/>
        </w:rPr>
        <w:t>der Abwasseranlagen des Eigenb</w:t>
      </w:r>
      <w:r w:rsidR="00135BF2" w:rsidRPr="00147D23">
        <w:rPr>
          <w:sz w:val="22"/>
        </w:rPr>
        <w:t>e</w:t>
      </w:r>
      <w:r w:rsidR="00135BF2" w:rsidRPr="00147D23">
        <w:rPr>
          <w:sz w:val="22"/>
        </w:rPr>
        <w:t>triebs</w:t>
      </w:r>
      <w:r w:rsidR="00135BF2">
        <w:rPr>
          <w:sz w:val="22"/>
        </w:rPr>
        <w:t xml:space="preserve"> umgesetzt werden. Gleichzeitig wurden Instandhaltungsleistungen von 8,68 Mio. EUR für die Klärwerks- und Kanalnetzanlagen durchgeführt. In 2013 waren die beschlossenen Finanzierungsmittel zur Umsetzung dieser Maßnahmen ausreichend. </w:t>
      </w:r>
      <w:r w:rsidR="000D3D95" w:rsidRPr="00147D23">
        <w:rPr>
          <w:sz w:val="22"/>
        </w:rPr>
        <w:t>Die</w:t>
      </w:r>
      <w:r w:rsidR="00416D24" w:rsidRPr="00147D23">
        <w:rPr>
          <w:sz w:val="22"/>
        </w:rPr>
        <w:t xml:space="preserve"> Abwassergebühren </w:t>
      </w:r>
      <w:r w:rsidR="000D3D95" w:rsidRPr="00147D23">
        <w:rPr>
          <w:sz w:val="22"/>
        </w:rPr>
        <w:t>der</w:t>
      </w:r>
      <w:r w:rsidR="00416D24" w:rsidRPr="00147D23">
        <w:rPr>
          <w:sz w:val="22"/>
        </w:rPr>
        <w:t xml:space="preserve"> Landeshauptstadt Stuttgart </w:t>
      </w:r>
      <w:r w:rsidR="000D3D95" w:rsidRPr="00147D23">
        <w:rPr>
          <w:sz w:val="22"/>
        </w:rPr>
        <w:t xml:space="preserve">waren </w:t>
      </w:r>
      <w:r w:rsidR="00416D24" w:rsidRPr="00147D23">
        <w:rPr>
          <w:sz w:val="22"/>
        </w:rPr>
        <w:t>mit einem</w:t>
      </w:r>
      <w:r w:rsidR="00D0654C" w:rsidRPr="00147D23">
        <w:rPr>
          <w:sz w:val="22"/>
        </w:rPr>
        <w:t xml:space="preserve"> </w:t>
      </w:r>
      <w:r w:rsidR="00FA7290" w:rsidRPr="00147D23">
        <w:rPr>
          <w:sz w:val="22"/>
        </w:rPr>
        <w:t>Schmut</w:t>
      </w:r>
      <w:r w:rsidR="00FA7290" w:rsidRPr="00147D23">
        <w:rPr>
          <w:sz w:val="22"/>
        </w:rPr>
        <w:t>z</w:t>
      </w:r>
      <w:r w:rsidR="00FA7290" w:rsidRPr="00147D23">
        <w:rPr>
          <w:sz w:val="22"/>
        </w:rPr>
        <w:t>wasser</w:t>
      </w:r>
      <w:r w:rsidR="00BA2011" w:rsidRPr="00147D23">
        <w:rPr>
          <w:sz w:val="22"/>
        </w:rPr>
        <w:t xml:space="preserve">entgelt </w:t>
      </w:r>
      <w:r w:rsidR="00416D24" w:rsidRPr="00147D23">
        <w:rPr>
          <w:sz w:val="22"/>
        </w:rPr>
        <w:t>von</w:t>
      </w:r>
      <w:r w:rsidR="00E552FC" w:rsidRPr="00147D23">
        <w:rPr>
          <w:sz w:val="22"/>
        </w:rPr>
        <w:t xml:space="preserve"> </w:t>
      </w:r>
      <w:r w:rsidR="00FC27B6" w:rsidRPr="00147D23">
        <w:rPr>
          <w:sz w:val="22"/>
        </w:rPr>
        <w:t>1,6</w:t>
      </w:r>
      <w:r w:rsidR="00147D23">
        <w:rPr>
          <w:sz w:val="22"/>
        </w:rPr>
        <w:t>2</w:t>
      </w:r>
      <w:r w:rsidR="00FA7290" w:rsidRPr="00147D23">
        <w:rPr>
          <w:sz w:val="22"/>
        </w:rPr>
        <w:t xml:space="preserve"> EUR/m³ </w:t>
      </w:r>
      <w:r w:rsidR="00922A33" w:rsidRPr="00147D23">
        <w:rPr>
          <w:sz w:val="22"/>
        </w:rPr>
        <w:t>(Vor</w:t>
      </w:r>
      <w:r w:rsidR="00147D23">
        <w:rPr>
          <w:sz w:val="22"/>
        </w:rPr>
        <w:t>jahr 1,6</w:t>
      </w:r>
      <w:r w:rsidR="00922A33" w:rsidRPr="00147D23">
        <w:rPr>
          <w:sz w:val="22"/>
        </w:rPr>
        <w:t xml:space="preserve">2 EUR/m³) </w:t>
      </w:r>
      <w:r w:rsidR="00FA7290" w:rsidRPr="00147D23">
        <w:rPr>
          <w:sz w:val="22"/>
        </w:rPr>
        <w:t xml:space="preserve">und </w:t>
      </w:r>
      <w:r w:rsidR="00D0654C" w:rsidRPr="00147D23">
        <w:rPr>
          <w:sz w:val="22"/>
        </w:rPr>
        <w:t>einer</w:t>
      </w:r>
      <w:r w:rsidR="005B786A" w:rsidRPr="00147D23">
        <w:rPr>
          <w:sz w:val="22"/>
        </w:rPr>
        <w:t xml:space="preserve"> </w:t>
      </w:r>
      <w:r w:rsidR="00FA7290" w:rsidRPr="00147D23">
        <w:rPr>
          <w:sz w:val="22"/>
        </w:rPr>
        <w:t>Niederschlagswa</w:t>
      </w:r>
      <w:r w:rsidR="00FA7290" w:rsidRPr="00147D23">
        <w:rPr>
          <w:sz w:val="22"/>
        </w:rPr>
        <w:t>s</w:t>
      </w:r>
      <w:r w:rsidR="00FA7290" w:rsidRPr="00147D23">
        <w:rPr>
          <w:sz w:val="22"/>
        </w:rPr>
        <w:t>ser</w:t>
      </w:r>
      <w:r w:rsidR="009B46A8" w:rsidRPr="00147D23">
        <w:rPr>
          <w:sz w:val="22"/>
        </w:rPr>
        <w:t>ge</w:t>
      </w:r>
      <w:r w:rsidR="00B2151A" w:rsidRPr="00147D23">
        <w:rPr>
          <w:sz w:val="22"/>
        </w:rPr>
        <w:t xml:space="preserve">bühr </w:t>
      </w:r>
      <w:r w:rsidR="00D0654C" w:rsidRPr="00147D23">
        <w:rPr>
          <w:sz w:val="22"/>
        </w:rPr>
        <w:t xml:space="preserve">von </w:t>
      </w:r>
      <w:r w:rsidR="00147D23">
        <w:rPr>
          <w:sz w:val="22"/>
        </w:rPr>
        <w:t>0,61</w:t>
      </w:r>
      <w:r w:rsidR="00E552FC" w:rsidRPr="00147D23">
        <w:rPr>
          <w:sz w:val="22"/>
        </w:rPr>
        <w:t xml:space="preserve"> EUR/m²</w:t>
      </w:r>
      <w:r w:rsidR="00FC27B6" w:rsidRPr="00147D23">
        <w:rPr>
          <w:sz w:val="22"/>
        </w:rPr>
        <w:t xml:space="preserve"> (Vor</w:t>
      </w:r>
      <w:r w:rsidR="00147D23">
        <w:rPr>
          <w:sz w:val="22"/>
        </w:rPr>
        <w:t>jahr 0,57</w:t>
      </w:r>
      <w:r w:rsidR="00D0654C" w:rsidRPr="00147D23">
        <w:rPr>
          <w:sz w:val="22"/>
        </w:rPr>
        <w:t xml:space="preserve"> EUR/m²) </w:t>
      </w:r>
      <w:r w:rsidR="00147D23">
        <w:rPr>
          <w:sz w:val="22"/>
        </w:rPr>
        <w:t xml:space="preserve">im bundesweitem Vergleich der Großstädte </w:t>
      </w:r>
      <w:r w:rsidR="000D3D95" w:rsidRPr="00147D23">
        <w:rPr>
          <w:sz w:val="22"/>
        </w:rPr>
        <w:t xml:space="preserve">weiterhin </w:t>
      </w:r>
      <w:r w:rsidR="00D0654C" w:rsidRPr="00147D23">
        <w:rPr>
          <w:sz w:val="22"/>
        </w:rPr>
        <w:t>günstig.</w:t>
      </w:r>
    </w:p>
    <w:p w:rsidR="00935402" w:rsidRDefault="00177175" w:rsidP="00177175">
      <w:pPr>
        <w:pStyle w:val="Textkrper"/>
        <w:jc w:val="center"/>
        <w:rPr>
          <w:sz w:val="22"/>
        </w:rPr>
      </w:pPr>
      <w:r w:rsidRPr="00177175">
        <w:rPr>
          <w:noProof/>
          <w:lang w:eastAsia="de-DE"/>
        </w:rPr>
        <w:drawing>
          <wp:inline distT="0" distB="0" distL="0" distR="0">
            <wp:extent cx="5398770" cy="28956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3" b="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75" w:rsidRDefault="00177175" w:rsidP="00177175">
      <w:pPr>
        <w:pStyle w:val="Textkrper"/>
        <w:jc w:val="center"/>
        <w:rPr>
          <w:sz w:val="22"/>
        </w:rPr>
      </w:pPr>
    </w:p>
    <w:p w:rsidR="006846E8" w:rsidRDefault="006846E8" w:rsidP="00D8010A">
      <w:pPr>
        <w:pStyle w:val="Textkrper"/>
      </w:pPr>
      <w:r w:rsidRPr="007172F6">
        <w:t>Ergebnisentwicklung</w:t>
      </w:r>
    </w:p>
    <w:p w:rsidR="001D21AD" w:rsidRDefault="007464E9" w:rsidP="007464E9">
      <w:pPr>
        <w:pStyle w:val="Textkrper2"/>
      </w:pPr>
      <w:r w:rsidRPr="006218DC">
        <w:t xml:space="preserve">Das </w:t>
      </w:r>
      <w:r w:rsidRPr="006218DC">
        <w:rPr>
          <w:b/>
          <w:bCs/>
        </w:rPr>
        <w:t>Jahresergebnis</w:t>
      </w:r>
      <w:r w:rsidR="006218DC" w:rsidRPr="006218DC">
        <w:t xml:space="preserve"> </w:t>
      </w:r>
      <w:r w:rsidRPr="006218DC">
        <w:t xml:space="preserve">in Höhe von </w:t>
      </w:r>
      <w:r w:rsidR="00147D23" w:rsidRPr="006218DC">
        <w:t>6,17</w:t>
      </w:r>
      <w:r w:rsidRPr="006218DC">
        <w:t xml:space="preserve"> Mio. EUR </w:t>
      </w:r>
      <w:r w:rsidR="001D21AD" w:rsidRPr="006218DC">
        <w:t>entspricht dem Planergebnis der Gebü</w:t>
      </w:r>
      <w:r w:rsidR="001D21AD" w:rsidRPr="006218DC">
        <w:t>h</w:t>
      </w:r>
      <w:r w:rsidR="001D21AD">
        <w:t xml:space="preserve">renkalkulation </w:t>
      </w:r>
      <w:r w:rsidR="006218DC">
        <w:t xml:space="preserve">(Plan 6,24 Mio. EUR) </w:t>
      </w:r>
      <w:r w:rsidR="001D21AD">
        <w:t xml:space="preserve">und </w:t>
      </w:r>
      <w:r>
        <w:t xml:space="preserve">wird nach Beschluss in die </w:t>
      </w:r>
      <w:r w:rsidR="001D21AD">
        <w:t>allgemeine R</w:t>
      </w:r>
      <w:r w:rsidR="006846E8">
        <w:t xml:space="preserve">ücklage </w:t>
      </w:r>
      <w:r w:rsidR="004B545A">
        <w:t xml:space="preserve">des Eigenbetriebes </w:t>
      </w:r>
      <w:r w:rsidR="00C72EB2">
        <w:t>eingestellt</w:t>
      </w:r>
      <w:r w:rsidR="001D21AD">
        <w:t xml:space="preserve">. </w:t>
      </w:r>
    </w:p>
    <w:p w:rsidR="006218DC" w:rsidRDefault="006218DC" w:rsidP="00935402">
      <w:pPr>
        <w:pStyle w:val="Textkrper2"/>
        <w:spacing w:line="120" w:lineRule="auto"/>
      </w:pPr>
    </w:p>
    <w:p w:rsidR="00935402" w:rsidRDefault="00935402" w:rsidP="007464E9">
      <w:pPr>
        <w:pStyle w:val="Textkrper2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328295</wp:posOffset>
            </wp:positionV>
            <wp:extent cx="5924550" cy="2019300"/>
            <wp:effectExtent l="19050" t="0" r="19050" b="0"/>
            <wp:wrapTight wrapText="bothSides">
              <wp:wrapPolygon edited="0">
                <wp:start x="-69" y="1223"/>
                <wp:lineTo x="-69" y="18951"/>
                <wp:lineTo x="14724" y="18951"/>
                <wp:lineTo x="21669" y="18951"/>
                <wp:lineTo x="21669" y="1223"/>
                <wp:lineTo x="6876" y="1223"/>
                <wp:lineTo x="-69" y="1223"/>
              </wp:wrapPolygon>
            </wp:wrapTight>
            <wp:docPr id="15" name="Diagram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D654D9">
        <w:t xml:space="preserve">Im Vergleich zum Vorjahr </w:t>
      </w:r>
      <w:r w:rsidR="00FE5E70">
        <w:t xml:space="preserve">und zu den kalkulierten Werten </w:t>
      </w:r>
      <w:r w:rsidR="00D654D9">
        <w:t>haben sich die wichtigsten Erge</w:t>
      </w:r>
      <w:r w:rsidR="00D654D9">
        <w:t>b</w:t>
      </w:r>
      <w:r w:rsidR="00D654D9">
        <w:t>nis</w:t>
      </w:r>
      <w:r w:rsidR="00FE5E70">
        <w:t>kennzahlen</w:t>
      </w:r>
      <w:r w:rsidR="00D654D9">
        <w:t xml:space="preserve"> </w:t>
      </w:r>
      <w:r w:rsidR="00FE5E70">
        <w:t xml:space="preserve">in 2013 </w:t>
      </w:r>
      <w:r w:rsidR="00D654D9">
        <w:t>folgendermaßen entwickelt:</w:t>
      </w:r>
    </w:p>
    <w:p w:rsidR="00935402" w:rsidRDefault="00935402" w:rsidP="007464E9">
      <w:pPr>
        <w:pStyle w:val="Textkrper2"/>
      </w:pPr>
    </w:p>
    <w:p w:rsidR="00BA1941" w:rsidRDefault="007464E9" w:rsidP="007464E9">
      <w:pPr>
        <w:pStyle w:val="Textkrper2"/>
      </w:pPr>
      <w:r w:rsidRPr="00AE06B0">
        <w:t xml:space="preserve">Die </w:t>
      </w:r>
      <w:r w:rsidRPr="00AE06B0">
        <w:rPr>
          <w:b/>
        </w:rPr>
        <w:t>Gesamterträge</w:t>
      </w:r>
      <w:r w:rsidRPr="00AE06B0">
        <w:t xml:space="preserve"> (</w:t>
      </w:r>
      <w:r w:rsidRPr="00AE06B0">
        <w:rPr>
          <w:u w:val="single"/>
        </w:rPr>
        <w:t>vor</w:t>
      </w:r>
      <w:r w:rsidR="00881DAD">
        <w:t xml:space="preserve"> Buchung Kostenüberdeckung</w:t>
      </w:r>
      <w:r w:rsidRPr="00AE06B0">
        <w:t xml:space="preserve">) lagen </w:t>
      </w:r>
      <w:r w:rsidR="00BF5FF1">
        <w:t xml:space="preserve">bei </w:t>
      </w:r>
      <w:r w:rsidR="00335193">
        <w:t>1</w:t>
      </w:r>
      <w:r w:rsidR="00535AE8">
        <w:t>14,85</w:t>
      </w:r>
      <w:r w:rsidRPr="00AE06B0">
        <w:t xml:space="preserve"> Mio. EUR (Vorjahr </w:t>
      </w:r>
      <w:r w:rsidR="00B21A4A">
        <w:t>114,38</w:t>
      </w:r>
      <w:r w:rsidR="00335193">
        <w:t xml:space="preserve"> Mio. EUR) und veränderten sich im Vergleich </w:t>
      </w:r>
      <w:r w:rsidR="00B21A4A">
        <w:t>zu den einkalkulierten und</w:t>
      </w:r>
      <w:r w:rsidR="00335193">
        <w:t xml:space="preserve"> Vorjahr</w:t>
      </w:r>
      <w:r w:rsidR="00B21A4A">
        <w:t>e</w:t>
      </w:r>
      <w:r w:rsidR="00B21A4A">
        <w:t>s</w:t>
      </w:r>
      <w:r w:rsidR="00B21A4A">
        <w:t>werten</w:t>
      </w:r>
      <w:r w:rsidR="00335193">
        <w:t xml:space="preserve"> folgendermaßen:</w:t>
      </w:r>
    </w:p>
    <w:p w:rsidR="00D639E9" w:rsidRDefault="00D639E9" w:rsidP="007464E9">
      <w:pPr>
        <w:pStyle w:val="Textkrper2"/>
      </w:pPr>
    </w:p>
    <w:p w:rsidR="00F929FA" w:rsidRDefault="00F929FA" w:rsidP="007464E9">
      <w:pPr>
        <w:pStyle w:val="Textkrper2"/>
      </w:pPr>
    </w:p>
    <w:bookmarkStart w:id="0" w:name="_MON_1269092509"/>
    <w:bookmarkStart w:id="1" w:name="_MON_1269092538"/>
    <w:bookmarkStart w:id="2" w:name="_MON_1269092710"/>
    <w:bookmarkStart w:id="3" w:name="_MON_1269243736"/>
    <w:bookmarkStart w:id="4" w:name="_MON_1271769264"/>
    <w:bookmarkStart w:id="5" w:name="_MON_1274098315"/>
    <w:bookmarkStart w:id="6" w:name="_MON_1274859444"/>
    <w:bookmarkStart w:id="7" w:name="_MON_1302331971"/>
    <w:bookmarkStart w:id="8" w:name="_MON_1302953202"/>
    <w:bookmarkStart w:id="9" w:name="_MON_1302953731"/>
    <w:bookmarkStart w:id="10" w:name="_MON_1304507217"/>
    <w:bookmarkStart w:id="11" w:name="_MON_1304507263"/>
    <w:bookmarkStart w:id="12" w:name="_MON_1304763908"/>
    <w:bookmarkStart w:id="13" w:name="_MON_1304860922"/>
    <w:bookmarkStart w:id="14" w:name="_MON_1307341536"/>
    <w:bookmarkStart w:id="15" w:name="_MON_1334643839"/>
    <w:bookmarkStart w:id="16" w:name="_MON_1334643858"/>
    <w:bookmarkStart w:id="17" w:name="_MON_1335181448"/>
    <w:bookmarkStart w:id="18" w:name="_MON_1367313370"/>
    <w:bookmarkStart w:id="19" w:name="_MON_1399811971"/>
    <w:bookmarkStart w:id="20" w:name="_MON_1108532683"/>
    <w:bookmarkStart w:id="21" w:name="_MON_1108532701"/>
    <w:bookmarkStart w:id="22" w:name="_MON_1108532849"/>
    <w:bookmarkStart w:id="23" w:name="_MON_1108532925"/>
    <w:bookmarkStart w:id="24" w:name="_MON_1108532990"/>
    <w:bookmarkStart w:id="25" w:name="_MON_1108533137"/>
    <w:bookmarkStart w:id="26" w:name="_MON_1108533164"/>
    <w:bookmarkStart w:id="27" w:name="_MON_1108533381"/>
    <w:bookmarkStart w:id="28" w:name="_MON_1108533447"/>
    <w:bookmarkStart w:id="29" w:name="_MON_1109058745"/>
    <w:bookmarkStart w:id="30" w:name="_MON_1109059042"/>
    <w:bookmarkStart w:id="31" w:name="_MON_1109160901"/>
    <w:bookmarkStart w:id="32" w:name="_MON_1110702573"/>
    <w:bookmarkStart w:id="33" w:name="_MON_1110786252"/>
    <w:bookmarkStart w:id="34" w:name="_MON_1110786273"/>
    <w:bookmarkStart w:id="35" w:name="_MON_1110786276"/>
    <w:bookmarkStart w:id="36" w:name="_MON_1111211443"/>
    <w:bookmarkStart w:id="37" w:name="_MON_1139906014"/>
    <w:bookmarkStart w:id="38" w:name="_MON_1141044337"/>
    <w:bookmarkStart w:id="39" w:name="_MON_1142426604"/>
    <w:bookmarkStart w:id="40" w:name="_MON_1142426747"/>
    <w:bookmarkStart w:id="41" w:name="_MON_1142426834"/>
    <w:bookmarkStart w:id="42" w:name="_MON_1144827061"/>
    <w:bookmarkStart w:id="43" w:name="_MON_1174138367"/>
    <w:bookmarkStart w:id="44" w:name="_MON_1174196788"/>
    <w:bookmarkStart w:id="45" w:name="_MON_1174739911"/>
    <w:bookmarkStart w:id="46" w:name="_MON_1174975270"/>
    <w:bookmarkStart w:id="47" w:name="_MON_1174976389"/>
    <w:bookmarkStart w:id="48" w:name="_MON_1174976543"/>
    <w:bookmarkStart w:id="49" w:name="_MON_1174995326"/>
    <w:bookmarkStart w:id="50" w:name="_MON_1175066413"/>
    <w:bookmarkStart w:id="51" w:name="_MON_1175066580"/>
    <w:bookmarkStart w:id="52" w:name="_MON_1201497920"/>
    <w:bookmarkStart w:id="53" w:name="_MON_1201498004"/>
    <w:bookmarkStart w:id="54" w:name="_MON_1201498024"/>
    <w:bookmarkStart w:id="55" w:name="_MON_1205841758"/>
    <w:bookmarkStart w:id="56" w:name="_MON_1205842058"/>
    <w:bookmarkStart w:id="57" w:name="_MON_1207135237"/>
    <w:bookmarkStart w:id="58" w:name="_MON_1237817668"/>
    <w:bookmarkStart w:id="59" w:name="_MON_1238482971"/>
    <w:bookmarkStart w:id="60" w:name="_MON_1238483039"/>
    <w:bookmarkStart w:id="61" w:name="_MON_123961527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Start w:id="62" w:name="_MON_1241954738"/>
    <w:bookmarkEnd w:id="62"/>
    <w:p w:rsidR="00BA1941" w:rsidRDefault="0014768C" w:rsidP="007464E9">
      <w:pPr>
        <w:pStyle w:val="Textkrper2"/>
        <w:rPr>
          <w:sz w:val="24"/>
        </w:rPr>
      </w:pPr>
      <w:r w:rsidRPr="0037661C">
        <w:rPr>
          <w:sz w:val="24"/>
        </w:rPr>
        <w:object w:dxaOrig="9550" w:dyaOrig="7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355.2pt" o:ole="" fillcolor="window">
            <v:imagedata r:id="rId14" o:title=""/>
          </v:shape>
          <o:OLEObject Type="Embed" ProgID="Excel.Sheet.8" ShapeID="_x0000_i1025" DrawAspect="Content" ObjectID="_1470747743" r:id="rId15"/>
        </w:object>
      </w:r>
    </w:p>
    <w:p w:rsidR="00D82D5F" w:rsidRDefault="007464E9" w:rsidP="007464E9">
      <w:pPr>
        <w:pStyle w:val="Textkrper2"/>
      </w:pPr>
      <w:r>
        <w:t>Die</w:t>
      </w:r>
      <w:r w:rsidRPr="00AE06B0">
        <w:t xml:space="preserve"> </w:t>
      </w:r>
      <w:r w:rsidRPr="00AE06B0">
        <w:rPr>
          <w:u w:val="single"/>
        </w:rPr>
        <w:t>Umsatzerlöse</w:t>
      </w:r>
      <w:r w:rsidRPr="00AE06B0">
        <w:t xml:space="preserve"> </w:t>
      </w:r>
      <w:r w:rsidR="00881DAD">
        <w:t>(</w:t>
      </w:r>
      <w:r w:rsidR="00881DAD" w:rsidRPr="009B7595">
        <w:t>vor</w:t>
      </w:r>
      <w:r w:rsidR="00881DAD">
        <w:t xml:space="preserve"> Buchung </w:t>
      </w:r>
      <w:r w:rsidR="009B7595">
        <w:t xml:space="preserve">der </w:t>
      </w:r>
      <w:r w:rsidR="00881DAD">
        <w:t xml:space="preserve">Kostenüberdeckung) </w:t>
      </w:r>
      <w:r w:rsidR="009B7595">
        <w:t>lagen in 2013 mit</w:t>
      </w:r>
      <w:r w:rsidRPr="00AE06B0">
        <w:t xml:space="preserve"> </w:t>
      </w:r>
      <w:r w:rsidR="003B5D95" w:rsidRPr="003B5D95">
        <w:t>110,40</w:t>
      </w:r>
      <w:r w:rsidR="00D0357F" w:rsidRPr="003B5D95">
        <w:t xml:space="preserve"> Mio.</w:t>
      </w:r>
      <w:r w:rsidR="00D0357F">
        <w:t xml:space="preserve"> EUR </w:t>
      </w:r>
      <w:r w:rsidR="009B7595">
        <w:t xml:space="preserve">unter den Umsatzerlösen des Vorjahres </w:t>
      </w:r>
      <w:r w:rsidR="00D0357F">
        <w:t>(Vor</w:t>
      </w:r>
      <w:r w:rsidR="009B7595">
        <w:t>jahr 111,37</w:t>
      </w:r>
      <w:r w:rsidR="00D0357F">
        <w:t xml:space="preserve"> Mio. EUR).</w:t>
      </w:r>
      <w:r w:rsidR="006C7533">
        <w:t xml:space="preserve"> </w:t>
      </w:r>
    </w:p>
    <w:p w:rsidR="00B042C2" w:rsidRDefault="00BA4080" w:rsidP="007464E9">
      <w:pPr>
        <w:pStyle w:val="Textkrper2"/>
      </w:pPr>
      <w:r>
        <w:t xml:space="preserve">Dabei </w:t>
      </w:r>
      <w:r w:rsidR="006C7533">
        <w:t>reduzierten</w:t>
      </w:r>
      <w:r w:rsidR="00C356A3">
        <w:t xml:space="preserve"> sich</w:t>
      </w:r>
      <w:r>
        <w:t xml:space="preserve"> d</w:t>
      </w:r>
      <w:r w:rsidR="00830F2C">
        <w:t xml:space="preserve">ie </w:t>
      </w:r>
      <w:r w:rsidR="00830F2C" w:rsidRPr="003B5D95">
        <w:rPr>
          <w:u w:val="dotted"/>
        </w:rPr>
        <w:t>Umsatzerlöse für Abwasserg</w:t>
      </w:r>
      <w:r w:rsidR="007249DE" w:rsidRPr="003B5D95">
        <w:rPr>
          <w:u w:val="dotted"/>
        </w:rPr>
        <w:t xml:space="preserve">ebühren und </w:t>
      </w:r>
      <w:r w:rsidR="00084A31" w:rsidRPr="003B5D95">
        <w:rPr>
          <w:u w:val="dotted"/>
        </w:rPr>
        <w:t>-e</w:t>
      </w:r>
      <w:r w:rsidR="007249DE" w:rsidRPr="003B5D95">
        <w:rPr>
          <w:u w:val="dotted"/>
        </w:rPr>
        <w:t>ntgelte</w:t>
      </w:r>
      <w:r w:rsidR="007249DE">
        <w:t xml:space="preserve"> </w:t>
      </w:r>
      <w:r w:rsidR="00C356A3">
        <w:t>auf</w:t>
      </w:r>
      <w:r w:rsidR="006C7533">
        <w:t xml:space="preserve"> 74,69</w:t>
      </w:r>
      <w:r>
        <w:t xml:space="preserve"> Mio. EUR (Vorjahr</w:t>
      </w:r>
      <w:r w:rsidR="006C7533">
        <w:t xml:space="preserve"> 76,37</w:t>
      </w:r>
      <w:r w:rsidR="0093319F">
        <w:t xml:space="preserve"> Mio. EUR</w:t>
      </w:r>
      <w:r>
        <w:t>)</w:t>
      </w:r>
      <w:r w:rsidR="006C7533">
        <w:t xml:space="preserve">. Die </w:t>
      </w:r>
      <w:r w:rsidR="003B5D95">
        <w:t xml:space="preserve">für den Jahresabschluss hochgerechnete </w:t>
      </w:r>
      <w:r w:rsidR="006C7533">
        <w:t>Schmutzwa</w:t>
      </w:r>
      <w:r w:rsidR="006C7533">
        <w:t>s</w:t>
      </w:r>
      <w:r w:rsidR="006C7533">
        <w:t>sermen</w:t>
      </w:r>
      <w:r w:rsidR="003B5D95">
        <w:t xml:space="preserve">ge </w:t>
      </w:r>
      <w:r w:rsidR="006C7533">
        <w:t>ging im Vergleich zur Kalkulationsmenge um 0,6% und</w:t>
      </w:r>
      <w:r w:rsidR="003B5D95">
        <w:t xml:space="preserve"> im Vergleich zum Vorjahr um 2,1</w:t>
      </w:r>
      <w:r w:rsidR="006C7533">
        <w:t>% zurück. Dies lag primär am geringeren Frischwasserverbrauch der sogenannten Sondervertragskunden</w:t>
      </w:r>
      <w:r w:rsidR="003B5D95">
        <w:t>, dem Industriebereich</w:t>
      </w:r>
      <w:r w:rsidR="006C7533">
        <w:t>.</w:t>
      </w:r>
      <w:r w:rsidR="003D3540">
        <w:t xml:space="preserve"> </w:t>
      </w:r>
      <w:r w:rsidR="005F479A">
        <w:t>Das Schmutzwasserentgelt</w:t>
      </w:r>
      <w:r w:rsidR="003329F2">
        <w:t xml:space="preserve"> blieb im Vergleich zum Vorjahr stabil bei 1,62 EUR/m³. </w:t>
      </w:r>
      <w:r w:rsidR="003D3540">
        <w:t>D</w:t>
      </w:r>
      <w:r w:rsidR="00017A2F">
        <w:t xml:space="preserve">ie Umsatzerlöse </w:t>
      </w:r>
      <w:r w:rsidR="00654E25">
        <w:t xml:space="preserve">für Niederschlagswasser </w:t>
      </w:r>
      <w:r w:rsidR="003D3540">
        <w:t xml:space="preserve">verhielten sich wie geplant </w:t>
      </w:r>
      <w:r w:rsidR="00535AE8">
        <w:t xml:space="preserve">und </w:t>
      </w:r>
      <w:r w:rsidR="00017A2F">
        <w:t xml:space="preserve">stiegen bei konstanter Fläche auf </w:t>
      </w:r>
      <w:r w:rsidR="005F479A">
        <w:t>19,10</w:t>
      </w:r>
      <w:r w:rsidR="00017A2F">
        <w:t xml:space="preserve"> Mio. EUR (Vor</w:t>
      </w:r>
      <w:r w:rsidR="005F479A">
        <w:t>jahr 17,96</w:t>
      </w:r>
      <w:r w:rsidR="00017A2F">
        <w:t xml:space="preserve"> Mio. EUR). Die </w:t>
      </w:r>
      <w:r w:rsidR="00654E25">
        <w:t>Niederschlags</w:t>
      </w:r>
      <w:r w:rsidR="00017A2F">
        <w:t xml:space="preserve">wassergebühr </w:t>
      </w:r>
      <w:r w:rsidR="003329F2">
        <w:t xml:space="preserve">stieg in 2013 auf 0,61 EUR/m² </w:t>
      </w:r>
      <w:r w:rsidR="00535AE8">
        <w:t>(Vorjahr 0,57</w:t>
      </w:r>
      <w:r w:rsidR="00017A2F">
        <w:t xml:space="preserve"> EUR/m²). </w:t>
      </w:r>
      <w:r w:rsidR="00BF2951">
        <w:t>Die</w:t>
      </w:r>
      <w:r w:rsidR="00830F2C">
        <w:t xml:space="preserve"> </w:t>
      </w:r>
      <w:r w:rsidR="003329F2">
        <w:t xml:space="preserve">erlösrelevanten </w:t>
      </w:r>
      <w:r w:rsidR="00830F2C">
        <w:t>Abwasser</w:t>
      </w:r>
      <w:r w:rsidR="00BF48FB">
        <w:t>wasser</w:t>
      </w:r>
      <w:r w:rsidR="00017A2F">
        <w:t xml:space="preserve">mengen </w:t>
      </w:r>
      <w:r w:rsidR="000515D6">
        <w:t xml:space="preserve">betrugen </w:t>
      </w:r>
      <w:r w:rsidR="004072C3">
        <w:t>34,82</w:t>
      </w:r>
      <w:r w:rsidR="00BF48FB">
        <w:t xml:space="preserve"> Mio. m³ </w:t>
      </w:r>
      <w:r w:rsidR="00830F2C">
        <w:t>(Vor</w:t>
      </w:r>
      <w:r w:rsidR="003329F2">
        <w:t>jahr 35,56 Mio. m³). A</w:t>
      </w:r>
      <w:r w:rsidR="00BF48FB">
        <w:t xml:space="preserve">n das Kanalnetz </w:t>
      </w:r>
      <w:r w:rsidR="003329F2">
        <w:t xml:space="preserve">waren </w:t>
      </w:r>
      <w:r w:rsidR="003B5D95">
        <w:t xml:space="preserve">im Berichtsjahr </w:t>
      </w:r>
      <w:r w:rsidR="003329F2">
        <w:t>31,27 Mio. m² (Vorjahr 31,30</w:t>
      </w:r>
      <w:r w:rsidR="000515D6">
        <w:t xml:space="preserve"> Mio. m²) Privatflächen </w:t>
      </w:r>
      <w:r w:rsidR="00BF48FB">
        <w:t>angeschlo</w:t>
      </w:r>
      <w:r w:rsidR="000515D6">
        <w:t>s</w:t>
      </w:r>
      <w:r w:rsidR="0056475F">
        <w:t>sen</w:t>
      </w:r>
      <w:r w:rsidR="00830F2C">
        <w:t>.</w:t>
      </w:r>
    </w:p>
    <w:p w:rsidR="00017A2F" w:rsidRDefault="00017A2F" w:rsidP="007464E9">
      <w:pPr>
        <w:pStyle w:val="Textkrper2"/>
      </w:pPr>
    </w:p>
    <w:p w:rsidR="00B042C2" w:rsidRDefault="00F929FA" w:rsidP="00582914">
      <w:pPr>
        <w:pStyle w:val="Textkrper2"/>
        <w:jc w:val="center"/>
      </w:pPr>
      <w:r w:rsidRPr="00F929FA">
        <w:rPr>
          <w:noProof/>
          <w:lang w:eastAsia="de-DE"/>
        </w:rPr>
        <w:lastRenderedPageBreak/>
        <w:drawing>
          <wp:inline distT="0" distB="0" distL="0" distR="0">
            <wp:extent cx="5410200" cy="2499360"/>
            <wp:effectExtent l="0" t="0" r="0" b="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42C2" w:rsidRDefault="00B042C2" w:rsidP="007464E9">
      <w:pPr>
        <w:pStyle w:val="Textkrper2"/>
      </w:pPr>
    </w:p>
    <w:p w:rsidR="00B042C2" w:rsidRDefault="00A31238" w:rsidP="00582914">
      <w:pPr>
        <w:pStyle w:val="Textkrper2"/>
        <w:jc w:val="center"/>
      </w:pPr>
      <w:r w:rsidRPr="00A31238">
        <w:rPr>
          <w:noProof/>
          <w:lang w:eastAsia="de-DE"/>
        </w:rPr>
        <w:drawing>
          <wp:inline distT="0" distB="0" distL="0" distR="0">
            <wp:extent cx="5410200" cy="2567940"/>
            <wp:effectExtent l="0" t="0" r="0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1CB2" w:rsidRDefault="00DA1CB2" w:rsidP="007464E9">
      <w:pPr>
        <w:pStyle w:val="Textkrper2"/>
      </w:pPr>
    </w:p>
    <w:p w:rsidR="00582914" w:rsidRDefault="00582914" w:rsidP="007464E9">
      <w:pPr>
        <w:pStyle w:val="Textkrper2"/>
      </w:pPr>
    </w:p>
    <w:p w:rsidR="007249DE" w:rsidRDefault="007249DE" w:rsidP="007464E9">
      <w:pPr>
        <w:pStyle w:val="Textkrper2"/>
      </w:pPr>
      <w:r>
        <w:t xml:space="preserve">Die </w:t>
      </w:r>
      <w:r w:rsidR="002E4BB2">
        <w:t xml:space="preserve">Auflösungserträge von </w:t>
      </w:r>
      <w:r w:rsidRPr="0093319F">
        <w:rPr>
          <w:u w:val="dotted"/>
        </w:rPr>
        <w:t>Zu</w:t>
      </w:r>
      <w:r w:rsidR="008B729F">
        <w:rPr>
          <w:u w:val="dotted"/>
        </w:rPr>
        <w:t>schüsse</w:t>
      </w:r>
      <w:r w:rsidR="002E4BB2">
        <w:rPr>
          <w:u w:val="dotted"/>
        </w:rPr>
        <w:t>n</w:t>
      </w:r>
      <w:r w:rsidR="008B729F">
        <w:rPr>
          <w:u w:val="dotted"/>
        </w:rPr>
        <w:t xml:space="preserve"> und Beiträ</w:t>
      </w:r>
      <w:r w:rsidRPr="0093319F">
        <w:rPr>
          <w:u w:val="dotted"/>
        </w:rPr>
        <w:t>ge</w:t>
      </w:r>
      <w:r w:rsidR="002E4BB2">
        <w:rPr>
          <w:u w:val="dotted"/>
        </w:rPr>
        <w:t>n</w:t>
      </w:r>
      <w:r>
        <w:t xml:space="preserve"> </w:t>
      </w:r>
      <w:r w:rsidR="00D148A3">
        <w:t xml:space="preserve">reduzierten </w:t>
      </w:r>
      <w:r w:rsidR="002E4BB2">
        <w:t>wie in der Kalkulation b</w:t>
      </w:r>
      <w:r w:rsidR="002E4BB2">
        <w:t>e</w:t>
      </w:r>
      <w:r w:rsidR="002E4BB2">
        <w:t>rücksichtigt auf 13,98</w:t>
      </w:r>
      <w:r w:rsidR="000A60DE">
        <w:t xml:space="preserve"> Mio. EUR (Vorjahr </w:t>
      </w:r>
      <w:r w:rsidR="002E4BB2">
        <w:t>15,15</w:t>
      </w:r>
      <w:r w:rsidR="0093319F">
        <w:t xml:space="preserve"> Mio. EUR</w:t>
      </w:r>
      <w:r w:rsidR="000A60DE">
        <w:t>)</w:t>
      </w:r>
      <w:r w:rsidR="002E4BB2">
        <w:t>. D</w:t>
      </w:r>
      <w:r w:rsidR="0093319F">
        <w:t xml:space="preserve">ie </w:t>
      </w:r>
      <w:r w:rsidR="0093319F" w:rsidRPr="0093319F">
        <w:rPr>
          <w:u w:val="dotted"/>
        </w:rPr>
        <w:t>Straßenentwässerungskosten</w:t>
      </w:r>
      <w:r w:rsidR="0093319F">
        <w:t xml:space="preserve"> </w:t>
      </w:r>
      <w:r w:rsidR="002E4BB2">
        <w:t>für die Landeshauptstadt Stuttgart betrugen 8,26</w:t>
      </w:r>
      <w:r w:rsidR="000A60DE">
        <w:t xml:space="preserve"> Mio. EUR (Vorjahr </w:t>
      </w:r>
      <w:r w:rsidR="002E4BB2">
        <w:t>8,33</w:t>
      </w:r>
      <w:r w:rsidR="001074DF">
        <w:t xml:space="preserve"> Mio. EUR</w:t>
      </w:r>
      <w:r w:rsidR="000A60DE">
        <w:t>)</w:t>
      </w:r>
      <w:r w:rsidR="0093319F">
        <w:t xml:space="preserve">. </w:t>
      </w:r>
      <w:r w:rsidR="000A60DE">
        <w:t xml:space="preserve">Die </w:t>
      </w:r>
      <w:r w:rsidR="002E4BB2">
        <w:t xml:space="preserve">an das Stuttgarter Kanalnetz angeschlossenen </w:t>
      </w:r>
      <w:r w:rsidR="000A60DE" w:rsidRPr="002C43D7">
        <w:rPr>
          <w:u w:val="dotted"/>
        </w:rPr>
        <w:t>Partnergemeinden</w:t>
      </w:r>
      <w:r w:rsidR="000A60DE" w:rsidRPr="000A60DE">
        <w:t xml:space="preserve"> beteiligten sich an den B</w:t>
      </w:r>
      <w:r w:rsidR="000A60DE" w:rsidRPr="000A60DE">
        <w:t>e</w:t>
      </w:r>
      <w:r w:rsidR="000A60DE" w:rsidRPr="000A60DE">
        <w:t>triebskosten</w:t>
      </w:r>
      <w:r w:rsidR="000A60DE">
        <w:t xml:space="preserve"> der Klärwer</w:t>
      </w:r>
      <w:r w:rsidR="002E4BB2">
        <w:t>ke in Höhe von 6,77</w:t>
      </w:r>
      <w:r w:rsidR="000A60DE">
        <w:t xml:space="preserve"> Mio. EUR (Vor</w:t>
      </w:r>
      <w:r w:rsidR="002E4BB2">
        <w:t>jahr 6,65 Mio. EUR) und d</w:t>
      </w:r>
      <w:r w:rsidR="002C43D7">
        <w:t xml:space="preserve">ie </w:t>
      </w:r>
      <w:r w:rsidR="002C43D7" w:rsidRPr="002C43D7">
        <w:rPr>
          <w:u w:val="dotted"/>
        </w:rPr>
        <w:t>sonstigen Erlöse</w:t>
      </w:r>
      <w:r w:rsidR="0016682C">
        <w:t xml:space="preserve"> </w:t>
      </w:r>
      <w:r w:rsidR="002E4BB2">
        <w:t>lagen stabil bei 2,89</w:t>
      </w:r>
      <w:r w:rsidR="000A60DE">
        <w:t xml:space="preserve"> Mio. EUR (Vor</w:t>
      </w:r>
      <w:r w:rsidR="002E4BB2">
        <w:t>jahr 2,98</w:t>
      </w:r>
      <w:r w:rsidR="002C43D7">
        <w:t xml:space="preserve"> Mio. EUR</w:t>
      </w:r>
      <w:r w:rsidR="000A60DE">
        <w:t>.</w:t>
      </w:r>
    </w:p>
    <w:p w:rsidR="008253BC" w:rsidRPr="008253BC" w:rsidRDefault="007464E9" w:rsidP="008253BC">
      <w:pPr>
        <w:pStyle w:val="Textkrper2"/>
      </w:pPr>
      <w:r w:rsidRPr="0032629D">
        <w:t xml:space="preserve">Die </w:t>
      </w:r>
      <w:r w:rsidRPr="0032629D">
        <w:rPr>
          <w:u w:val="single"/>
        </w:rPr>
        <w:t>aktivierten Eigenleistungen</w:t>
      </w:r>
      <w:r w:rsidRPr="0032629D">
        <w:t xml:space="preserve"> </w:t>
      </w:r>
      <w:r w:rsidR="002E4BB2">
        <w:t>lagen in 2013 etwas höher als geplant bei 2,19</w:t>
      </w:r>
      <w:r w:rsidRPr="0032629D">
        <w:t xml:space="preserve"> Mio. EUR (Vorjahr </w:t>
      </w:r>
      <w:r w:rsidR="002E4BB2">
        <w:t>2,10</w:t>
      </w:r>
      <w:r w:rsidR="00F35673">
        <w:t xml:space="preserve"> Mio. EUR) während d</w:t>
      </w:r>
      <w:r w:rsidRPr="0032629D">
        <w:t xml:space="preserve">ie </w:t>
      </w:r>
      <w:r w:rsidRPr="0032629D">
        <w:rPr>
          <w:u w:val="single"/>
        </w:rPr>
        <w:t>sonstigen betrieblichen Erträge</w:t>
      </w:r>
      <w:r>
        <w:t xml:space="preserve"> </w:t>
      </w:r>
      <w:r w:rsidR="002E4BB2">
        <w:t>mit 2,27</w:t>
      </w:r>
      <w:r w:rsidRPr="0032629D">
        <w:t xml:space="preserve"> Mio. EUR</w:t>
      </w:r>
      <w:r w:rsidR="00FF73C9">
        <w:t xml:space="preserve"> </w:t>
      </w:r>
      <w:r w:rsidR="00AB125A">
        <w:t>(Vor</w:t>
      </w:r>
      <w:r w:rsidR="002E4BB2">
        <w:t>jahr 0,90</w:t>
      </w:r>
      <w:r w:rsidR="00AB125A">
        <w:t xml:space="preserve"> Mio. EUR) </w:t>
      </w:r>
      <w:r w:rsidR="002E4BB2">
        <w:t>deutlich höher als geplant waren</w:t>
      </w:r>
      <w:r w:rsidRPr="0032629D">
        <w:t>.</w:t>
      </w:r>
      <w:r w:rsidR="002E4BB2">
        <w:t xml:space="preserve"> </w:t>
      </w:r>
      <w:r w:rsidR="008253BC">
        <w:t>Primär lag dies am Ausgleich e</w:t>
      </w:r>
      <w:r w:rsidR="008253BC">
        <w:t>i</w:t>
      </w:r>
      <w:r w:rsidR="008253BC">
        <w:t xml:space="preserve">nes Versicherungsschadens im Hauptklärwerk aus 2012 und </w:t>
      </w:r>
      <w:r w:rsidR="008253BC" w:rsidRPr="008253BC">
        <w:t xml:space="preserve">durch </w:t>
      </w:r>
      <w:r w:rsidR="008253BC" w:rsidRPr="008253BC">
        <w:rPr>
          <w:bCs/>
        </w:rPr>
        <w:t>erhaltene Landesz</w:t>
      </w:r>
      <w:r w:rsidR="008253BC" w:rsidRPr="008253BC">
        <w:rPr>
          <w:bCs/>
        </w:rPr>
        <w:t>u</w:t>
      </w:r>
      <w:r w:rsidR="008253BC" w:rsidRPr="008253BC">
        <w:rPr>
          <w:bCs/>
        </w:rPr>
        <w:t>schüsse</w:t>
      </w:r>
      <w:r w:rsidR="008253BC" w:rsidRPr="008253BC">
        <w:t xml:space="preserve"> bei Klärwerksprojekten</w:t>
      </w:r>
      <w:r w:rsidR="008253BC">
        <w:t xml:space="preserve"> (Einmaleffekte).</w:t>
      </w:r>
    </w:p>
    <w:p w:rsidR="00DA1CB2" w:rsidRDefault="00DA1CB2" w:rsidP="007464E9">
      <w:pPr>
        <w:pStyle w:val="Textkrper2"/>
      </w:pPr>
    </w:p>
    <w:p w:rsidR="008253BC" w:rsidRDefault="008253BC" w:rsidP="007464E9">
      <w:pPr>
        <w:pStyle w:val="Textkrper2"/>
      </w:pPr>
    </w:p>
    <w:p w:rsidR="008253BC" w:rsidRDefault="008253BC" w:rsidP="007464E9">
      <w:pPr>
        <w:pStyle w:val="Textkrper2"/>
      </w:pPr>
    </w:p>
    <w:p w:rsidR="00582914" w:rsidRDefault="00582914" w:rsidP="007464E9">
      <w:pPr>
        <w:pStyle w:val="Textkrper2"/>
      </w:pPr>
    </w:p>
    <w:p w:rsidR="008253BC" w:rsidRDefault="008253BC" w:rsidP="007464E9">
      <w:pPr>
        <w:pStyle w:val="Textkrper2"/>
      </w:pPr>
    </w:p>
    <w:p w:rsidR="008253BC" w:rsidRDefault="008253BC" w:rsidP="007464E9">
      <w:pPr>
        <w:pStyle w:val="Textkrper2"/>
      </w:pPr>
    </w:p>
    <w:p w:rsidR="008253BC" w:rsidRDefault="008253BC" w:rsidP="007464E9">
      <w:pPr>
        <w:pStyle w:val="Textkrper2"/>
      </w:pPr>
    </w:p>
    <w:p w:rsidR="008253BC" w:rsidRDefault="008253BC" w:rsidP="007464E9">
      <w:pPr>
        <w:pStyle w:val="Textkrper2"/>
      </w:pPr>
    </w:p>
    <w:p w:rsidR="008253BC" w:rsidRDefault="008253BC" w:rsidP="007464E9">
      <w:pPr>
        <w:pStyle w:val="Textkrper2"/>
      </w:pPr>
    </w:p>
    <w:p w:rsidR="008253BC" w:rsidRDefault="008253BC" w:rsidP="007464E9">
      <w:pPr>
        <w:pStyle w:val="Textkrper2"/>
      </w:pPr>
    </w:p>
    <w:p w:rsidR="007464E9" w:rsidRDefault="007464E9" w:rsidP="00FF73C9">
      <w:pPr>
        <w:pStyle w:val="Textkrper2"/>
        <w:spacing w:line="360" w:lineRule="auto"/>
      </w:pPr>
      <w:r w:rsidRPr="004C2297">
        <w:lastRenderedPageBreak/>
        <w:t xml:space="preserve">Die </w:t>
      </w:r>
      <w:r w:rsidRPr="004C2297">
        <w:rPr>
          <w:b/>
        </w:rPr>
        <w:t>Gesamtaufwendungen</w:t>
      </w:r>
      <w:r w:rsidR="008D0552" w:rsidRPr="004C2297">
        <w:t xml:space="preserve"> 201</w:t>
      </w:r>
      <w:r w:rsidR="004C2297">
        <w:t>3</w:t>
      </w:r>
      <w:r w:rsidR="004072C3">
        <w:t xml:space="preserve"> betrugen 108,40</w:t>
      </w:r>
      <w:r w:rsidRPr="004C2297">
        <w:t xml:space="preserve"> Mio. EUR (Vor</w:t>
      </w:r>
      <w:r w:rsidR="00A55A4B" w:rsidRPr="004C2297">
        <w:t xml:space="preserve">jahr </w:t>
      </w:r>
      <w:r w:rsidR="00677878">
        <w:t>107,46</w:t>
      </w:r>
      <w:r w:rsidRPr="004C2297">
        <w:t xml:space="preserve"> Mio. EUR).</w:t>
      </w:r>
    </w:p>
    <w:p w:rsidR="00E746B8" w:rsidRDefault="00E746B8" w:rsidP="00FF73C9">
      <w:pPr>
        <w:pStyle w:val="Textkrper2"/>
        <w:spacing w:line="360" w:lineRule="auto"/>
      </w:pPr>
    </w:p>
    <w:bookmarkStart w:id="63" w:name="_MON_1424249119"/>
    <w:bookmarkEnd w:id="63"/>
    <w:p w:rsidR="00315892" w:rsidRDefault="002E7C2F" w:rsidP="00FF73C9">
      <w:pPr>
        <w:pStyle w:val="Textkrper2"/>
        <w:spacing w:line="360" w:lineRule="auto"/>
      </w:pPr>
      <w:r w:rsidRPr="0037661C">
        <w:rPr>
          <w:sz w:val="24"/>
        </w:rPr>
        <w:object w:dxaOrig="9383" w:dyaOrig="6820">
          <v:shape id="_x0000_i1026" type="#_x0000_t75" style="width:449.4pt;height:342.6pt" o:ole="" fillcolor="window">
            <v:imagedata r:id="rId18" o:title=""/>
          </v:shape>
          <o:OLEObject Type="Embed" ProgID="Excel.Sheet.8" ShapeID="_x0000_i1026" DrawAspect="Content" ObjectID="_1470747744" r:id="rId19"/>
        </w:object>
      </w:r>
    </w:p>
    <w:p w:rsidR="00025331" w:rsidRDefault="00025331" w:rsidP="00DE34B5">
      <w:pPr>
        <w:pStyle w:val="Textkrper2"/>
      </w:pPr>
    </w:p>
    <w:p w:rsidR="00F50C7C" w:rsidRDefault="004A0691" w:rsidP="00DE34B5">
      <w:pPr>
        <w:pStyle w:val="Textkrper2"/>
      </w:pPr>
      <w:r>
        <w:t>D</w:t>
      </w:r>
      <w:r w:rsidR="00685CE4">
        <w:t>ie Gesamtaufwendung</w:t>
      </w:r>
      <w:r w:rsidR="00E746B8">
        <w:t>en in 2013</w:t>
      </w:r>
      <w:r w:rsidR="00581B7E">
        <w:t xml:space="preserve"> </w:t>
      </w:r>
      <w:r>
        <w:t xml:space="preserve">konnten nahezu </w:t>
      </w:r>
      <w:r w:rsidR="00581B7E">
        <w:t>auf geplantem</w:t>
      </w:r>
      <w:r w:rsidR="00685CE4">
        <w:t xml:space="preserve"> Niveau gehalten werden. Dabei </w:t>
      </w:r>
      <w:r w:rsidR="008F4624">
        <w:t>blieb</w:t>
      </w:r>
      <w:r w:rsidR="00C44841">
        <w:t xml:space="preserve">en die Aufwendungen für </w:t>
      </w:r>
      <w:r w:rsidR="00C44841" w:rsidRPr="006741B2">
        <w:rPr>
          <w:u w:val="single"/>
        </w:rPr>
        <w:t>Roh</w:t>
      </w:r>
      <w:r w:rsidR="0093488A" w:rsidRPr="006741B2">
        <w:rPr>
          <w:u w:val="single"/>
        </w:rPr>
        <w:t>-, Hilfs- und Betriebsstoffe</w:t>
      </w:r>
      <w:r w:rsidR="0093488A">
        <w:t xml:space="preserve"> </w:t>
      </w:r>
      <w:r w:rsidR="00C44841">
        <w:t xml:space="preserve">mit 10,77 Mio. EUR </w:t>
      </w:r>
      <w:r>
        <w:t>pr</w:t>
      </w:r>
      <w:r>
        <w:t>i</w:t>
      </w:r>
      <w:r>
        <w:t xml:space="preserve">mär </w:t>
      </w:r>
      <w:r w:rsidR="00C44841">
        <w:t xml:space="preserve">durch </w:t>
      </w:r>
      <w:r w:rsidR="003B5D95">
        <w:t>einen geringeren</w:t>
      </w:r>
      <w:r w:rsidR="00C44841">
        <w:t xml:space="preserve"> Strombedarf </w:t>
      </w:r>
      <w:r w:rsidR="003B5D95">
        <w:t xml:space="preserve">im Berichtsjahr </w:t>
      </w:r>
      <w:r w:rsidR="006741B2">
        <w:t>(Erhöhung Eigenerzeugung) deu</w:t>
      </w:r>
      <w:r w:rsidR="006741B2">
        <w:t>t</w:t>
      </w:r>
      <w:r w:rsidR="006741B2">
        <w:t>lich unter dem kalkulierten und Vorjahreswert.</w:t>
      </w:r>
      <w:r>
        <w:t xml:space="preserve"> Die Aufwendungen für </w:t>
      </w:r>
      <w:r w:rsidRPr="004A0691">
        <w:rPr>
          <w:u w:val="single"/>
        </w:rPr>
        <w:t>bezogene Leistungen</w:t>
      </w:r>
      <w:r>
        <w:t xml:space="preserve"> erreichten mit 11,13 Mio. EUR den kalkulierten Wert. Im Vergleich zum Vorjahr wurden vor allem die Instandhaltungsleistungen für das Kanalnetz und den Klärwerksanlagen angeh</w:t>
      </w:r>
      <w:r>
        <w:t>o</w:t>
      </w:r>
      <w:r>
        <w:t xml:space="preserve">ben. Durch die tarifliche Anpassung in 2013 stieg der </w:t>
      </w:r>
      <w:r w:rsidRPr="00685CE4">
        <w:rPr>
          <w:u w:val="single"/>
        </w:rPr>
        <w:t>Personal</w:t>
      </w:r>
      <w:r>
        <w:rPr>
          <w:u w:val="single"/>
        </w:rPr>
        <w:t>aufwand</w:t>
      </w:r>
      <w:r w:rsidRPr="004A0691">
        <w:t xml:space="preserve"> auf </w:t>
      </w:r>
      <w:r>
        <w:t>19,46 Mio. EUR</w:t>
      </w:r>
      <w:r w:rsidR="0024591E">
        <w:t xml:space="preserve"> und blieb damit auf Planniveau. Die</w:t>
      </w:r>
      <w:r w:rsidR="0024591E" w:rsidRPr="0024591E">
        <w:t xml:space="preserve"> </w:t>
      </w:r>
      <w:r w:rsidR="0024591E">
        <w:t xml:space="preserve">betrieblichen </w:t>
      </w:r>
      <w:r w:rsidR="0024591E" w:rsidRPr="0024591E">
        <w:rPr>
          <w:u w:val="single"/>
        </w:rPr>
        <w:t>Abschreibungen</w:t>
      </w:r>
      <w:r w:rsidR="0024591E">
        <w:t xml:space="preserve"> blieben mit 35,11 Mio. EUR relativ konstant zum Vorjahr, lagen aber höher als in der Kalkulation vorgesehen.</w:t>
      </w:r>
      <w:r w:rsidR="0024591E" w:rsidRPr="0024591E">
        <w:t xml:space="preserve"> </w:t>
      </w:r>
      <w:r w:rsidR="0024591E">
        <w:t>I</w:t>
      </w:r>
      <w:r w:rsidR="0024591E">
        <w:t>n</w:t>
      </w:r>
      <w:r w:rsidR="0024591E">
        <w:t xml:space="preserve">nerhalb der </w:t>
      </w:r>
      <w:r w:rsidR="0024591E" w:rsidRPr="00385F5F">
        <w:rPr>
          <w:u w:val="single"/>
        </w:rPr>
        <w:t>sonstigen betrieblichen Aufwendungen</w:t>
      </w:r>
      <w:r w:rsidR="00A60D9C">
        <w:t xml:space="preserve"> mit 10,74 Mio. EUR sind die Kosten des Wasserschadens im Hauptklärwerk verbucht. Diese waren für 2013 nicht eingeplant. G</w:t>
      </w:r>
      <w:r w:rsidR="00A60D9C">
        <w:t>e</w:t>
      </w:r>
      <w:r w:rsidR="00A60D9C">
        <w:t>deckt ist dieser Mehraufwand durch die vollständige Begleichung durch die Versicherung (unter sonstigen betrieblichen Erträgen)</w:t>
      </w:r>
      <w:r w:rsidR="00260907">
        <w:t xml:space="preserve">. </w:t>
      </w:r>
      <w:r w:rsidR="00A72C62">
        <w:t>Das</w:t>
      </w:r>
      <w:r w:rsidR="00F50C7C" w:rsidRPr="007464E9">
        <w:t xml:space="preserve"> </w:t>
      </w:r>
      <w:r w:rsidR="00F50C7C" w:rsidRPr="007464E9">
        <w:rPr>
          <w:u w:val="single"/>
        </w:rPr>
        <w:t>Zins</w:t>
      </w:r>
      <w:r w:rsidR="00A72C62">
        <w:rPr>
          <w:u w:val="single"/>
        </w:rPr>
        <w:t>ergebnis</w:t>
      </w:r>
      <w:r w:rsidR="00F50C7C" w:rsidRPr="007464E9">
        <w:t xml:space="preserve"> </w:t>
      </w:r>
      <w:r w:rsidR="00260907">
        <w:t>blieb mit 21,18</w:t>
      </w:r>
      <w:r w:rsidR="00F50C7C">
        <w:t xml:space="preserve"> Mio. EUR </w:t>
      </w:r>
      <w:r w:rsidR="00260907">
        <w:t>unter</w:t>
      </w:r>
      <w:r w:rsidR="006933CE">
        <w:t xml:space="preserve"> dem </w:t>
      </w:r>
      <w:r w:rsidR="00260907">
        <w:t xml:space="preserve">Kalkulations- und </w:t>
      </w:r>
      <w:r w:rsidR="00F50C7C">
        <w:t>Vorjahr</w:t>
      </w:r>
      <w:r w:rsidR="006933CE">
        <w:t>eswert</w:t>
      </w:r>
      <w:r w:rsidR="00260907">
        <w:t>. In 2013</w:t>
      </w:r>
      <w:r w:rsidR="00F50C7C">
        <w:t xml:space="preserve"> w</w:t>
      </w:r>
      <w:r w:rsidR="00D26A5B">
        <w:t xml:space="preserve">urden Darlehen von </w:t>
      </w:r>
      <w:r w:rsidR="00742975">
        <w:t xml:space="preserve">insgesamt </w:t>
      </w:r>
      <w:r w:rsidR="00260907">
        <w:t xml:space="preserve">28,58 Mio. EUR (Vorjahr </w:t>
      </w:r>
      <w:r w:rsidR="006933CE">
        <w:t>32,76</w:t>
      </w:r>
      <w:r w:rsidR="00F50C7C">
        <w:t xml:space="preserve"> Mio. EUR</w:t>
      </w:r>
      <w:r w:rsidR="00260907">
        <w:t>)</w:t>
      </w:r>
      <w:r w:rsidR="00F50C7C">
        <w:t xml:space="preserve"> aufgenomme</w:t>
      </w:r>
      <w:r w:rsidR="00D26A5B">
        <w:t>n</w:t>
      </w:r>
      <w:r w:rsidR="00766ECD">
        <w:t xml:space="preserve"> (siehe Anlage Darlehensübersicht)</w:t>
      </w:r>
      <w:r w:rsidR="00D26A5B">
        <w:t>.</w:t>
      </w:r>
    </w:p>
    <w:p w:rsidR="00BF7A5C" w:rsidRDefault="00BF7A5C" w:rsidP="007464E9">
      <w:pPr>
        <w:pStyle w:val="Textkrper2"/>
      </w:pPr>
    </w:p>
    <w:p w:rsidR="00F92540" w:rsidRDefault="00776F7A" w:rsidP="008E1F8A">
      <w:pPr>
        <w:pStyle w:val="Textkrper2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Die</w:t>
      </w:r>
      <w:r w:rsidR="008E1F8A" w:rsidRPr="00776F7A">
        <w:rPr>
          <w:b/>
          <w:shd w:val="clear" w:color="auto" w:fill="FFFFFF" w:themeFill="background1"/>
        </w:rPr>
        <w:t xml:space="preserve"> </w:t>
      </w:r>
      <w:r w:rsidR="008E1F8A" w:rsidRPr="00776F7A">
        <w:rPr>
          <w:b/>
          <w:bCs/>
          <w:shd w:val="clear" w:color="auto" w:fill="FFFFFF" w:themeFill="background1"/>
        </w:rPr>
        <w:t>Gebührennachkalkulation 201</w:t>
      </w:r>
      <w:r w:rsidR="00260907">
        <w:rPr>
          <w:b/>
          <w:bCs/>
          <w:shd w:val="clear" w:color="auto" w:fill="FFFFFF" w:themeFill="background1"/>
        </w:rPr>
        <w:t>3</w:t>
      </w:r>
      <w:r>
        <w:rPr>
          <w:b/>
          <w:bCs/>
          <w:shd w:val="clear" w:color="auto" w:fill="FFFFFF" w:themeFill="background1"/>
        </w:rPr>
        <w:t xml:space="preserve"> </w:t>
      </w:r>
      <w:r w:rsidRPr="00776F7A">
        <w:rPr>
          <w:bCs/>
          <w:shd w:val="clear" w:color="auto" w:fill="FFFFFF" w:themeFill="background1"/>
        </w:rPr>
        <w:t>zum Jahresabschluss</w:t>
      </w:r>
      <w:r w:rsidR="008E1F8A" w:rsidRPr="00776F7A">
        <w:rPr>
          <w:shd w:val="clear" w:color="auto" w:fill="FFFFFF" w:themeFill="background1"/>
        </w:rPr>
        <w:t xml:space="preserve"> ergab für den Bereich </w:t>
      </w:r>
      <w:r w:rsidRPr="009078AE">
        <w:rPr>
          <w:u w:val="single"/>
        </w:rPr>
        <w:t>Sch</w:t>
      </w:r>
      <w:r>
        <w:rPr>
          <w:u w:val="single"/>
        </w:rPr>
        <w:t>m</w:t>
      </w:r>
      <w:r w:rsidRPr="009078AE">
        <w:rPr>
          <w:u w:val="single"/>
        </w:rPr>
        <w:t>utzwasser</w:t>
      </w:r>
      <w:r w:rsidR="00AA5682" w:rsidRPr="00AA5682">
        <w:t xml:space="preserve"> </w:t>
      </w:r>
      <w:r w:rsidR="00644138">
        <w:t xml:space="preserve">eine </w:t>
      </w:r>
      <w:r>
        <w:t xml:space="preserve">Kostenüberdeckung in Höhe </w:t>
      </w:r>
      <w:r w:rsidRPr="00644138">
        <w:t xml:space="preserve">von </w:t>
      </w:r>
      <w:r w:rsidR="00260907">
        <w:t>0,29</w:t>
      </w:r>
      <w:r w:rsidRPr="00644138">
        <w:t xml:space="preserve"> Mio. EU</w:t>
      </w:r>
      <w:r w:rsidR="004D66B3" w:rsidRPr="00644138">
        <w:t>R</w:t>
      </w:r>
      <w:r w:rsidR="004D66B3">
        <w:t>. In den Gebührenka</w:t>
      </w:r>
      <w:r w:rsidR="004D66B3">
        <w:t>l</w:t>
      </w:r>
      <w:r w:rsidR="004D66B3">
        <w:t>kula</w:t>
      </w:r>
      <w:r w:rsidR="00260907">
        <w:t>tionen 2015</w:t>
      </w:r>
      <w:r w:rsidR="004D66B3">
        <w:t xml:space="preserve"> </w:t>
      </w:r>
      <w:r w:rsidR="00A24672">
        <w:rPr>
          <w:shd w:val="clear" w:color="auto" w:fill="FFFFFF" w:themeFill="background1"/>
        </w:rPr>
        <w:t xml:space="preserve">und folgende </w:t>
      </w:r>
      <w:r w:rsidR="00260907">
        <w:t xml:space="preserve">wird dieser Betrag entsprechend </w:t>
      </w:r>
      <w:r w:rsidR="004D66B3">
        <w:t>berücksichtig</w:t>
      </w:r>
      <w:r w:rsidR="00260907">
        <w:t>t werden</w:t>
      </w:r>
      <w:r w:rsidR="00F92540">
        <w:t xml:space="preserve">. Der Bereich </w:t>
      </w:r>
      <w:r w:rsidR="008E1F8A" w:rsidRPr="00776F7A">
        <w:rPr>
          <w:u w:val="single"/>
          <w:shd w:val="clear" w:color="auto" w:fill="FFFFFF" w:themeFill="background1"/>
        </w:rPr>
        <w:t>Niederschlagswasser</w:t>
      </w:r>
      <w:r w:rsidR="008E1F8A" w:rsidRPr="00776F7A">
        <w:rPr>
          <w:shd w:val="clear" w:color="auto" w:fill="FFFFFF" w:themeFill="background1"/>
        </w:rPr>
        <w:t xml:space="preserve"> </w:t>
      </w:r>
      <w:r w:rsidR="00F92540">
        <w:rPr>
          <w:shd w:val="clear" w:color="auto" w:fill="FFFFFF" w:themeFill="background1"/>
        </w:rPr>
        <w:t xml:space="preserve">weist eine Kostenunterdeckung in Höhe </w:t>
      </w:r>
      <w:r w:rsidR="00F92540" w:rsidRPr="00902AE7">
        <w:rPr>
          <w:shd w:val="clear" w:color="auto" w:fill="FFFFFF" w:themeFill="background1"/>
        </w:rPr>
        <w:t xml:space="preserve">von </w:t>
      </w:r>
      <w:r w:rsidR="00250528">
        <w:rPr>
          <w:shd w:val="clear" w:color="auto" w:fill="FFFFFF" w:themeFill="background1"/>
        </w:rPr>
        <w:t>0,42</w:t>
      </w:r>
      <w:r w:rsidR="00F92540" w:rsidRPr="00902AE7">
        <w:rPr>
          <w:shd w:val="clear" w:color="auto" w:fill="FFFFFF" w:themeFill="background1"/>
        </w:rPr>
        <w:t xml:space="preserve"> Mio. EUR aus</w:t>
      </w:r>
      <w:r w:rsidR="00F92540">
        <w:rPr>
          <w:shd w:val="clear" w:color="auto" w:fill="FFFFFF" w:themeFill="background1"/>
        </w:rPr>
        <w:t>. Auch diese</w:t>
      </w:r>
      <w:r w:rsidR="00902AE7">
        <w:rPr>
          <w:shd w:val="clear" w:color="auto" w:fill="FFFFFF" w:themeFill="background1"/>
        </w:rPr>
        <w:t>r Betrag</w:t>
      </w:r>
      <w:r w:rsidR="00F92540">
        <w:rPr>
          <w:shd w:val="clear" w:color="auto" w:fill="FFFFFF" w:themeFill="background1"/>
        </w:rPr>
        <w:t xml:space="preserve"> wird i</w:t>
      </w:r>
      <w:r w:rsidR="00260907">
        <w:rPr>
          <w:shd w:val="clear" w:color="auto" w:fill="FFFFFF" w:themeFill="background1"/>
        </w:rPr>
        <w:t>n den Gebührenkalkulationen 2015</w:t>
      </w:r>
      <w:r w:rsidR="00F92540">
        <w:rPr>
          <w:shd w:val="clear" w:color="auto" w:fill="FFFFFF" w:themeFill="background1"/>
        </w:rPr>
        <w:t xml:space="preserve"> und folgende berücksic</w:t>
      </w:r>
      <w:r w:rsidR="00F92540">
        <w:rPr>
          <w:shd w:val="clear" w:color="auto" w:fill="FFFFFF" w:themeFill="background1"/>
        </w:rPr>
        <w:t>h</w:t>
      </w:r>
      <w:r w:rsidR="00F92540">
        <w:rPr>
          <w:shd w:val="clear" w:color="auto" w:fill="FFFFFF" w:themeFill="background1"/>
        </w:rPr>
        <w:t>ti</w:t>
      </w:r>
      <w:r w:rsidR="00902AE7">
        <w:rPr>
          <w:shd w:val="clear" w:color="auto" w:fill="FFFFFF" w:themeFill="background1"/>
        </w:rPr>
        <w:t>gt werden</w:t>
      </w:r>
      <w:r w:rsidR="00F92540">
        <w:rPr>
          <w:shd w:val="clear" w:color="auto" w:fill="FFFFFF" w:themeFill="background1"/>
        </w:rPr>
        <w:t>.</w:t>
      </w:r>
    </w:p>
    <w:p w:rsidR="008E1F8A" w:rsidRDefault="008E1F8A" w:rsidP="00DB6F64"/>
    <w:p w:rsidR="008E1F8A" w:rsidRDefault="008E1F8A" w:rsidP="00DB6F64"/>
    <w:p w:rsidR="00AB2CD2" w:rsidRPr="001622CA" w:rsidRDefault="00AB2CD2" w:rsidP="00AB2CD2">
      <w:pPr>
        <w:jc w:val="both"/>
        <w:rPr>
          <w:b/>
          <w:caps/>
          <w:sz w:val="22"/>
          <w:szCs w:val="22"/>
        </w:rPr>
      </w:pPr>
      <w:r w:rsidRPr="001622CA">
        <w:rPr>
          <w:b/>
          <w:caps/>
          <w:sz w:val="22"/>
          <w:szCs w:val="22"/>
        </w:rPr>
        <w:lastRenderedPageBreak/>
        <w:t>Entwicklungen in der Branche</w:t>
      </w:r>
      <w:r>
        <w:rPr>
          <w:rStyle w:val="Funotenzeichen"/>
          <w:b/>
          <w:caps/>
          <w:sz w:val="22"/>
          <w:szCs w:val="22"/>
        </w:rPr>
        <w:footnoteReference w:id="1"/>
      </w:r>
    </w:p>
    <w:p w:rsidR="00AB2CD2" w:rsidRPr="001622CA" w:rsidRDefault="00AB2CD2" w:rsidP="00AB2CD2">
      <w:pPr>
        <w:pStyle w:val="Default"/>
        <w:rPr>
          <w:sz w:val="22"/>
          <w:szCs w:val="22"/>
        </w:rPr>
      </w:pPr>
      <w:r w:rsidRPr="007577C2">
        <w:rPr>
          <w:color w:val="auto"/>
          <w:sz w:val="22"/>
          <w:szCs w:val="22"/>
          <w:lang w:eastAsia="en-US"/>
        </w:rPr>
        <w:t xml:space="preserve">Die durchschnittlichen Ausgaben der Bürger für die tägliche Abwasserentsorgung bewegen sich seit vielen Jahren bei geringfügigen Schwankungen </w:t>
      </w:r>
      <w:r>
        <w:rPr>
          <w:color w:val="auto"/>
          <w:sz w:val="22"/>
          <w:szCs w:val="22"/>
          <w:lang w:eastAsia="en-US"/>
        </w:rPr>
        <w:t>relativ stabil. Dabei lagen in 2013 das durchschnittliche Schmutzwasserentgelt bundesweit bei 2,11 EUR/m³ und die Niede</w:t>
      </w:r>
      <w:r>
        <w:rPr>
          <w:color w:val="auto"/>
          <w:sz w:val="22"/>
          <w:szCs w:val="22"/>
          <w:lang w:eastAsia="en-US"/>
        </w:rPr>
        <w:t>r</w:t>
      </w:r>
      <w:r>
        <w:rPr>
          <w:color w:val="auto"/>
          <w:sz w:val="22"/>
          <w:szCs w:val="22"/>
          <w:lang w:eastAsia="en-US"/>
        </w:rPr>
        <w:t xml:space="preserve">schlagswassergebühr bei 0,84 EUR/m². </w:t>
      </w:r>
      <w:r w:rsidRPr="007577C2">
        <w:rPr>
          <w:color w:val="auto"/>
          <w:sz w:val="22"/>
          <w:szCs w:val="22"/>
          <w:lang w:eastAsia="en-US"/>
        </w:rPr>
        <w:t xml:space="preserve">Regional </w:t>
      </w:r>
      <w:r>
        <w:rPr>
          <w:color w:val="auto"/>
          <w:sz w:val="22"/>
          <w:szCs w:val="22"/>
          <w:lang w:eastAsia="en-US"/>
        </w:rPr>
        <w:t xml:space="preserve">können sich </w:t>
      </w:r>
      <w:r w:rsidRPr="007577C2">
        <w:rPr>
          <w:color w:val="auto"/>
          <w:sz w:val="22"/>
          <w:szCs w:val="22"/>
          <w:lang w:eastAsia="en-US"/>
        </w:rPr>
        <w:t>die Kosten für die Bürger au</w:t>
      </w:r>
      <w:r w:rsidRPr="007577C2">
        <w:rPr>
          <w:color w:val="auto"/>
          <w:sz w:val="22"/>
          <w:szCs w:val="22"/>
          <w:lang w:eastAsia="en-US"/>
        </w:rPr>
        <w:t>f</w:t>
      </w:r>
      <w:r w:rsidRPr="007577C2">
        <w:rPr>
          <w:color w:val="auto"/>
          <w:sz w:val="22"/>
          <w:szCs w:val="22"/>
          <w:lang w:eastAsia="en-US"/>
        </w:rPr>
        <w:t xml:space="preserve">grund verschiedener Rahmenbedingungen </w:t>
      </w:r>
      <w:r>
        <w:rPr>
          <w:color w:val="auto"/>
          <w:sz w:val="22"/>
          <w:szCs w:val="22"/>
          <w:lang w:eastAsia="en-US"/>
        </w:rPr>
        <w:t xml:space="preserve">jedoch </w:t>
      </w:r>
      <w:r w:rsidRPr="007577C2">
        <w:rPr>
          <w:color w:val="auto"/>
          <w:sz w:val="22"/>
          <w:szCs w:val="22"/>
          <w:lang w:eastAsia="en-US"/>
        </w:rPr>
        <w:t>stark</w:t>
      </w:r>
      <w:r>
        <w:rPr>
          <w:color w:val="auto"/>
          <w:sz w:val="22"/>
          <w:szCs w:val="22"/>
          <w:lang w:eastAsia="en-US"/>
        </w:rPr>
        <w:t xml:space="preserve"> unterscheiden</w:t>
      </w:r>
      <w:r w:rsidRPr="007577C2">
        <w:rPr>
          <w:color w:val="auto"/>
          <w:sz w:val="22"/>
          <w:szCs w:val="22"/>
          <w:lang w:eastAsia="en-US"/>
        </w:rPr>
        <w:t>. Der Anteil der ve</w:t>
      </w:r>
      <w:r w:rsidRPr="007577C2">
        <w:rPr>
          <w:color w:val="auto"/>
          <w:sz w:val="22"/>
          <w:szCs w:val="22"/>
          <w:lang w:eastAsia="en-US"/>
        </w:rPr>
        <w:t>r</w:t>
      </w:r>
      <w:r w:rsidRPr="007577C2">
        <w:rPr>
          <w:color w:val="auto"/>
          <w:sz w:val="22"/>
          <w:szCs w:val="22"/>
          <w:lang w:eastAsia="en-US"/>
        </w:rPr>
        <w:t>brauchsunabhängigen Kosten in der Abwasserbeseitigung ist hoch, da es sich bei den Anl</w:t>
      </w:r>
      <w:r w:rsidRPr="007577C2">
        <w:rPr>
          <w:color w:val="auto"/>
          <w:sz w:val="22"/>
          <w:szCs w:val="22"/>
          <w:lang w:eastAsia="en-US"/>
        </w:rPr>
        <w:t>a</w:t>
      </w:r>
      <w:r w:rsidRPr="007577C2">
        <w:rPr>
          <w:color w:val="auto"/>
          <w:sz w:val="22"/>
          <w:szCs w:val="22"/>
          <w:lang w:eastAsia="en-US"/>
        </w:rPr>
        <w:t xml:space="preserve">gen der Abwasserbeseitigung im Wesentlichen um langlebige Wirtschaftsgüter handelt. </w:t>
      </w:r>
      <w:r w:rsidRPr="007577C2">
        <w:rPr>
          <w:sz w:val="22"/>
          <w:szCs w:val="22"/>
        </w:rPr>
        <w:t>Mit den vielen Milliarden Euro, die jedes Jahr in die Erhaltung und Erweiterung oder Verbess</w:t>
      </w:r>
      <w:r w:rsidRPr="007577C2">
        <w:rPr>
          <w:sz w:val="22"/>
          <w:szCs w:val="22"/>
        </w:rPr>
        <w:t>e</w:t>
      </w:r>
      <w:r w:rsidRPr="007577C2">
        <w:rPr>
          <w:sz w:val="22"/>
          <w:szCs w:val="22"/>
        </w:rPr>
        <w:t xml:space="preserve">rung der Abwasseranlagen investiert werden, belegen die </w:t>
      </w:r>
      <w:r>
        <w:rPr>
          <w:sz w:val="22"/>
          <w:szCs w:val="22"/>
        </w:rPr>
        <w:t xml:space="preserve">kommunalen </w:t>
      </w:r>
      <w:r w:rsidRPr="007577C2">
        <w:rPr>
          <w:sz w:val="22"/>
          <w:szCs w:val="22"/>
        </w:rPr>
        <w:t xml:space="preserve">Unternehmen, dass sie ihre Aufgaben umweltbewusst und nachhaltig erfüllen. Die Investitionen der Kommunen und Abwasserbeseitigungsunternehmen dienen dem Umwelt- und Gesundheitsschutz und stellen </w:t>
      </w:r>
      <w:r>
        <w:rPr>
          <w:sz w:val="22"/>
          <w:szCs w:val="22"/>
        </w:rPr>
        <w:t xml:space="preserve">nicht zuletzt auch </w:t>
      </w:r>
      <w:r w:rsidRPr="007577C2">
        <w:rPr>
          <w:sz w:val="22"/>
          <w:szCs w:val="22"/>
        </w:rPr>
        <w:t xml:space="preserve">einen erheblichen beschäftigungs- und umweltpolitischen Faktor der </w:t>
      </w:r>
      <w:proofErr w:type="spellStart"/>
      <w:r w:rsidRPr="007577C2">
        <w:rPr>
          <w:sz w:val="22"/>
          <w:szCs w:val="22"/>
        </w:rPr>
        <w:t>Mittelstandsförderung</w:t>
      </w:r>
      <w:proofErr w:type="spellEnd"/>
      <w:r w:rsidRPr="007577C2">
        <w:rPr>
          <w:sz w:val="22"/>
          <w:szCs w:val="22"/>
        </w:rPr>
        <w:t xml:space="preserve"> dar. Die Abwasserbeseitigung wird in Deutschland zu einem ganz überwiegenden Anteil von öffentlichen Unternehmen durchgeführt. Die Aufgabenträger sind zu 100 Prozent öffentlich.</w:t>
      </w:r>
    </w:p>
    <w:p w:rsidR="00AB2CD2" w:rsidRPr="001622CA" w:rsidRDefault="00AB2CD2" w:rsidP="00AB2CD2">
      <w:pPr>
        <w:jc w:val="both"/>
        <w:rPr>
          <w:sz w:val="22"/>
          <w:szCs w:val="22"/>
        </w:rPr>
      </w:pPr>
    </w:p>
    <w:p w:rsidR="00AB2CD2" w:rsidRPr="001622CA" w:rsidRDefault="00AB2CD2" w:rsidP="00AB2CD2">
      <w:pPr>
        <w:jc w:val="both"/>
        <w:rPr>
          <w:sz w:val="22"/>
          <w:szCs w:val="22"/>
        </w:rPr>
      </w:pPr>
    </w:p>
    <w:p w:rsidR="00AB2CD2" w:rsidRPr="001622CA" w:rsidRDefault="00AB2CD2" w:rsidP="00AB2CD2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Geschäftsentwicklung und Wesentliche Mengen</w:t>
      </w:r>
      <w:r w:rsidRPr="001622CA">
        <w:rPr>
          <w:b/>
          <w:caps/>
          <w:sz w:val="22"/>
          <w:szCs w:val="22"/>
        </w:rPr>
        <w:t xml:space="preserve">Entwicklungen in </w:t>
      </w:r>
      <w:r>
        <w:rPr>
          <w:b/>
          <w:caps/>
          <w:sz w:val="22"/>
          <w:szCs w:val="22"/>
        </w:rPr>
        <w:t>Stuttgart</w:t>
      </w:r>
    </w:p>
    <w:p w:rsidR="00AB2CD2" w:rsidRDefault="00AB2CD2" w:rsidP="00AB2CD2">
      <w:pPr>
        <w:pStyle w:val="Textkrper2"/>
      </w:pPr>
      <w:r w:rsidRPr="00954601">
        <w:t xml:space="preserve">Nach der Betriebssatzung ist die Aufgabe des Eigenbetriebs Stadtentwässerung Stuttgart die schadlose Ableitung und Behandlung von Abwässern gemäß der für die Stadt geltenden Abwasserbeseitigungssatzung einschließlich der Klärschlammverwertung und -beseitigung. Er kann sich aufgrund von Vereinbarungen dazu verpflichten, das Abwasser von außerhalb des Stadtgebiets gelegenen Grundstücken oder von Bereichen benachbarter Gemeinden zu beseitigen. </w:t>
      </w:r>
      <w:r>
        <w:t>Der Eigenbetrieb Stadtentwässerung Stuttgart ist organisatorisch im Tiefbauamt der Landeshauptstadt Stuttgart integriert.</w:t>
      </w:r>
    </w:p>
    <w:p w:rsidR="00AB2CD2" w:rsidRDefault="00AB2CD2" w:rsidP="00AB2CD2">
      <w:pPr>
        <w:pStyle w:val="Textkrper2"/>
      </w:pPr>
      <w:r w:rsidRPr="001622CA">
        <w:t xml:space="preserve">Die wesentlichen Einflussfaktoren für die Höhe der Umsatzerlöse </w:t>
      </w:r>
      <w:r>
        <w:t>sind</w:t>
      </w:r>
      <w:r w:rsidRPr="001622CA">
        <w:t xml:space="preserve"> der Stuttgarter Frischwasserverbrauch und die an das Kanalnetz angeschlossenen Flächen</w:t>
      </w:r>
      <w:r>
        <w:t>. Für 2013</w:t>
      </w:r>
      <w:r w:rsidRPr="001622CA">
        <w:t xml:space="preserve"> ergibt die</w:t>
      </w:r>
      <w:r>
        <w:t xml:space="preserve"> </w:t>
      </w:r>
      <w:r w:rsidRPr="002F2844">
        <w:t xml:space="preserve">Hochrechnung </w:t>
      </w:r>
      <w:r w:rsidRPr="00D146EC">
        <w:t>zum Jahresabschluss</w:t>
      </w:r>
      <w:r>
        <w:t xml:space="preserve"> eine </w:t>
      </w:r>
      <w:r w:rsidRPr="002F2844">
        <w:rPr>
          <w:u w:val="dotted"/>
        </w:rPr>
        <w:t>veranlagungsfähige Schmutzwassermenge</w:t>
      </w:r>
      <w:r>
        <w:t xml:space="preserve"> mit 34,82 Mio. m³. Diese lag um 2,1% unter der Vorjahresmenge (Vorjahr 35,56 Mio. m³) und um 0,6% niedriger als ursprünglich geplant (Kalkulationsmenge 2013 35,00 Mio. m³). Dabei ve</w:t>
      </w:r>
      <w:r>
        <w:t>r</w:t>
      </w:r>
      <w:r>
        <w:t xml:space="preserve">ringerte sich der gemeldete </w:t>
      </w:r>
      <w:r w:rsidRPr="00D146EC">
        <w:rPr>
          <w:u w:val="dotted"/>
        </w:rPr>
        <w:t>Frischwasser</w:t>
      </w:r>
      <w:r>
        <w:rPr>
          <w:u w:val="dotted"/>
        </w:rPr>
        <w:t>v</w:t>
      </w:r>
      <w:r w:rsidRPr="00D146EC">
        <w:rPr>
          <w:u w:val="dotted"/>
        </w:rPr>
        <w:t>erbrauch</w:t>
      </w:r>
      <w:r>
        <w:t xml:space="preserve"> (Simulationswerte) der Industriekunden auf 7,71 Mio. m³ (Vorjahr 8,22 Mio. m³) während der Verbrauch der Privatkunden mit 27,78 Mio. m³ (Vorjahr 27,85 Mio. m³) relativ konstant blieb.</w:t>
      </w:r>
    </w:p>
    <w:p w:rsidR="00AB2CD2" w:rsidRDefault="00AB2CD2" w:rsidP="00DB6F64"/>
    <w:p w:rsidR="00AB2CD2" w:rsidRDefault="00AB2CD2" w:rsidP="00DB6F64"/>
    <w:p w:rsidR="00942BA8" w:rsidRPr="00A46FDF" w:rsidRDefault="00942BA8" w:rsidP="00942BA8">
      <w:pPr>
        <w:pStyle w:val="berschrift4"/>
        <w:jc w:val="both"/>
        <w:rPr>
          <w:b/>
          <w:caps/>
          <w:u w:val="none"/>
        </w:rPr>
      </w:pPr>
      <w:r w:rsidRPr="00A93851">
        <w:rPr>
          <w:b/>
          <w:caps/>
          <w:u w:val="none"/>
        </w:rPr>
        <w:t>Mitarbeiterzahlen</w:t>
      </w:r>
    </w:p>
    <w:p w:rsidR="00274093" w:rsidRPr="00274093" w:rsidRDefault="00274093" w:rsidP="00942BA8">
      <w:pPr>
        <w:pStyle w:val="Textkrper2"/>
      </w:pPr>
      <w:r w:rsidRPr="00274093">
        <w:t xml:space="preserve">Zum 31.12.2013 waren bei der Stadtentwässerung Stuttgart </w:t>
      </w:r>
      <w:r w:rsidRPr="00274093">
        <w:rPr>
          <w:bCs/>
        </w:rPr>
        <w:t xml:space="preserve">10 </w:t>
      </w:r>
      <w:r w:rsidRPr="00274093">
        <w:t xml:space="preserve">Beamte (Vorjahr 10), </w:t>
      </w:r>
      <w:r w:rsidRPr="00274093">
        <w:rPr>
          <w:bCs/>
        </w:rPr>
        <w:t>334</w:t>
      </w:r>
      <w:r w:rsidRPr="00274093">
        <w:t xml:space="preserve"> Beschäftigte (Vorjahr 330) und 25 Auszubildende (Vorjahr 27) beschäftigt. Insgesamt waren </w:t>
      </w:r>
      <w:r w:rsidRPr="00274093">
        <w:rPr>
          <w:bCs/>
        </w:rPr>
        <w:t>66</w:t>
      </w:r>
      <w:r w:rsidRPr="00274093">
        <w:t xml:space="preserve"> Frauen bei der SES tätig. </w:t>
      </w:r>
      <w:r w:rsidRPr="00274093">
        <w:rPr>
          <w:bCs/>
        </w:rPr>
        <w:t>43</w:t>
      </w:r>
      <w:r w:rsidRPr="00274093">
        <w:t xml:space="preserve"> Mitarbeiterinnen und Mitarbeiter waren teilzeitbeschäftigt. Die Quote der ausländischen Mitarbeiter lag bei </w:t>
      </w:r>
      <w:r w:rsidRPr="00274093">
        <w:rPr>
          <w:bCs/>
        </w:rPr>
        <w:t>11,6</w:t>
      </w:r>
      <w:r w:rsidRPr="00274093">
        <w:t xml:space="preserve"> %. Im Berichtsjahr erhielten </w:t>
      </w:r>
      <w:r w:rsidRPr="00274093">
        <w:rPr>
          <w:bCs/>
        </w:rPr>
        <w:t xml:space="preserve">17 </w:t>
      </w:r>
      <w:r w:rsidRPr="00274093">
        <w:t>Fac</w:t>
      </w:r>
      <w:r w:rsidRPr="00274093">
        <w:t>h</w:t>
      </w:r>
      <w:r w:rsidRPr="00274093">
        <w:t>kräfte für Abwassertechnik,</w:t>
      </w:r>
      <w:r w:rsidRPr="00274093">
        <w:rPr>
          <w:bCs/>
        </w:rPr>
        <w:t xml:space="preserve"> 6</w:t>
      </w:r>
      <w:r w:rsidRPr="00274093">
        <w:t xml:space="preserve"> Bauzeichner, </w:t>
      </w:r>
      <w:r w:rsidRPr="00274093">
        <w:rPr>
          <w:bCs/>
        </w:rPr>
        <w:t>2</w:t>
      </w:r>
      <w:r w:rsidRPr="00274093">
        <w:t xml:space="preserve"> Chemielaborantinnen und </w:t>
      </w:r>
      <w:r w:rsidRPr="00274093">
        <w:rPr>
          <w:bCs/>
        </w:rPr>
        <w:t>2</w:t>
      </w:r>
      <w:r w:rsidRPr="00274093">
        <w:t xml:space="preserve"> Elektroniker für Betriebstechnik bei der Stadtentwässerung Stuttgart ihre Ausbildung.</w:t>
      </w:r>
    </w:p>
    <w:p w:rsidR="00274093" w:rsidRDefault="00274093" w:rsidP="00942BA8">
      <w:pPr>
        <w:pStyle w:val="Textkrper2"/>
      </w:pPr>
    </w:p>
    <w:p w:rsidR="00AB2CD2" w:rsidRDefault="00AB2CD2" w:rsidP="00E82279">
      <w:pPr>
        <w:pStyle w:val="berschrift4"/>
        <w:rPr>
          <w:b/>
          <w:caps/>
          <w:u w:val="none"/>
        </w:rPr>
      </w:pPr>
    </w:p>
    <w:p w:rsidR="00E82279" w:rsidRDefault="00E82279" w:rsidP="00E82279">
      <w:pPr>
        <w:pStyle w:val="berschrift4"/>
        <w:rPr>
          <w:b/>
          <w:caps/>
          <w:u w:val="none"/>
        </w:rPr>
      </w:pPr>
      <w:r w:rsidRPr="004B447E">
        <w:rPr>
          <w:b/>
          <w:caps/>
          <w:u w:val="none"/>
        </w:rPr>
        <w:t>Investitionen</w:t>
      </w:r>
      <w:r w:rsidR="004B447E">
        <w:rPr>
          <w:b/>
          <w:caps/>
          <w:u w:val="none"/>
        </w:rPr>
        <w:t xml:space="preserve"> </w:t>
      </w:r>
    </w:p>
    <w:p w:rsidR="0001716A" w:rsidRDefault="00C84EE2" w:rsidP="00E82279">
      <w:pPr>
        <w:pStyle w:val="Textkrper"/>
        <w:rPr>
          <w:b w:val="0"/>
          <w:sz w:val="22"/>
        </w:rPr>
      </w:pPr>
      <w:r w:rsidRPr="00C84EE2">
        <w:rPr>
          <w:noProof/>
          <w:lang w:eastAsia="de-DE"/>
        </w:rPr>
        <w:drawing>
          <wp:inline distT="0" distB="0" distL="0" distR="0">
            <wp:extent cx="5665682" cy="1082040"/>
            <wp:effectExtent l="1905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9192" t="27835" r="16016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82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DB" w:rsidRDefault="009A57DB" w:rsidP="00E82279">
      <w:pPr>
        <w:pStyle w:val="Textkrper"/>
        <w:rPr>
          <w:b w:val="0"/>
          <w:sz w:val="22"/>
          <w:shd w:val="clear" w:color="auto" w:fill="FFFFFF" w:themeFill="background1"/>
        </w:rPr>
      </w:pPr>
    </w:p>
    <w:p w:rsidR="0061443D" w:rsidRDefault="00275768" w:rsidP="007D12CB">
      <w:pPr>
        <w:pStyle w:val="Textkrper"/>
        <w:spacing w:after="60"/>
        <w:rPr>
          <w:b w:val="0"/>
          <w:sz w:val="22"/>
        </w:rPr>
      </w:pPr>
      <w:r>
        <w:rPr>
          <w:b w:val="0"/>
          <w:sz w:val="22"/>
          <w:shd w:val="clear" w:color="auto" w:fill="FFFFFF" w:themeFill="background1"/>
        </w:rPr>
        <w:t>I</w:t>
      </w:r>
      <w:r w:rsidR="00206425">
        <w:rPr>
          <w:b w:val="0"/>
          <w:sz w:val="22"/>
          <w:shd w:val="clear" w:color="auto" w:fill="FFFFFF" w:themeFill="background1"/>
        </w:rPr>
        <w:t xml:space="preserve">nsgesamt </w:t>
      </w:r>
      <w:r>
        <w:rPr>
          <w:b w:val="0"/>
          <w:sz w:val="22"/>
          <w:shd w:val="clear" w:color="auto" w:fill="FFFFFF" w:themeFill="background1"/>
        </w:rPr>
        <w:t xml:space="preserve">wurden </w:t>
      </w:r>
      <w:r w:rsidR="00683A8B">
        <w:rPr>
          <w:b w:val="0"/>
          <w:sz w:val="22"/>
          <w:shd w:val="clear" w:color="auto" w:fill="FFFFFF" w:themeFill="background1"/>
        </w:rPr>
        <w:t xml:space="preserve">im Jahr </w:t>
      </w:r>
      <w:r>
        <w:rPr>
          <w:b w:val="0"/>
          <w:sz w:val="22"/>
          <w:shd w:val="clear" w:color="auto" w:fill="FFFFFF" w:themeFill="background1"/>
        </w:rPr>
        <w:t xml:space="preserve">2013 </w:t>
      </w:r>
      <w:r w:rsidR="00206425">
        <w:rPr>
          <w:b w:val="0"/>
          <w:sz w:val="22"/>
          <w:shd w:val="clear" w:color="auto" w:fill="FFFFFF" w:themeFill="background1"/>
        </w:rPr>
        <w:t>40,34</w:t>
      </w:r>
      <w:r w:rsidR="00A57BA3" w:rsidRPr="008874EB">
        <w:rPr>
          <w:b w:val="0"/>
          <w:sz w:val="22"/>
          <w:shd w:val="clear" w:color="auto" w:fill="FFFFFF" w:themeFill="background1"/>
        </w:rPr>
        <w:t xml:space="preserve"> Mio. EUR</w:t>
      </w:r>
      <w:r w:rsidR="00A57BA3" w:rsidRPr="00E82279">
        <w:rPr>
          <w:b w:val="0"/>
          <w:sz w:val="22"/>
        </w:rPr>
        <w:t xml:space="preserve"> </w:t>
      </w:r>
      <w:r w:rsidR="00A57BA3">
        <w:rPr>
          <w:b w:val="0"/>
          <w:sz w:val="22"/>
        </w:rPr>
        <w:t>in die Anlagen der Stadtentwässerung Stuttgart investiert</w:t>
      </w:r>
      <w:r w:rsidR="00206425">
        <w:rPr>
          <w:b w:val="0"/>
          <w:sz w:val="22"/>
        </w:rPr>
        <w:t xml:space="preserve"> (Vorjahr 40,39</w:t>
      </w:r>
      <w:r w:rsidR="00691CDF" w:rsidRPr="00E82279">
        <w:rPr>
          <w:b w:val="0"/>
          <w:sz w:val="22"/>
        </w:rPr>
        <w:t xml:space="preserve"> Mio. EUR)</w:t>
      </w:r>
      <w:r w:rsidR="00A57BA3">
        <w:rPr>
          <w:b w:val="0"/>
          <w:sz w:val="22"/>
        </w:rPr>
        <w:t xml:space="preserve">. </w:t>
      </w:r>
      <w:r w:rsidR="0061443D">
        <w:rPr>
          <w:b w:val="0"/>
          <w:sz w:val="22"/>
        </w:rPr>
        <w:t xml:space="preserve">Die Investitionsquote </w:t>
      </w:r>
      <w:r w:rsidR="003523FF" w:rsidRPr="003523FF">
        <w:rPr>
          <w:b w:val="0"/>
          <w:sz w:val="22"/>
          <w:szCs w:val="22"/>
        </w:rPr>
        <w:t>(</w:t>
      </w:r>
      <w:r w:rsidR="003523FF" w:rsidRPr="003523FF">
        <w:rPr>
          <w:rStyle w:val="Fett"/>
          <w:sz w:val="22"/>
          <w:szCs w:val="22"/>
        </w:rPr>
        <w:t>Investitionsquote</w:t>
      </w:r>
      <w:r w:rsidR="003523FF" w:rsidRPr="003523FF">
        <w:rPr>
          <w:b w:val="0"/>
          <w:sz w:val="22"/>
          <w:szCs w:val="22"/>
        </w:rPr>
        <w:t xml:space="preserve"> =</w:t>
      </w:r>
      <w:r w:rsidR="00683A8B">
        <w:rPr>
          <w:b w:val="0"/>
          <w:sz w:val="22"/>
          <w:szCs w:val="22"/>
        </w:rPr>
        <w:br/>
      </w:r>
      <w:r w:rsidR="003523FF" w:rsidRPr="003523FF">
        <w:rPr>
          <w:b w:val="0"/>
          <w:sz w:val="22"/>
          <w:szCs w:val="22"/>
        </w:rPr>
        <w:t>Investitionen / Anlagevermögen)</w:t>
      </w:r>
      <w:r w:rsidR="003523FF">
        <w:rPr>
          <w:sz w:val="22"/>
          <w:szCs w:val="22"/>
        </w:rPr>
        <w:t xml:space="preserve"> </w:t>
      </w:r>
      <w:r w:rsidR="0061443D">
        <w:rPr>
          <w:b w:val="0"/>
          <w:sz w:val="22"/>
        </w:rPr>
        <w:t xml:space="preserve">lag </w:t>
      </w:r>
      <w:r w:rsidR="00691CDF">
        <w:rPr>
          <w:b w:val="0"/>
          <w:sz w:val="22"/>
        </w:rPr>
        <w:t xml:space="preserve">bei </w:t>
      </w:r>
      <w:r w:rsidR="003523FF">
        <w:rPr>
          <w:b w:val="0"/>
          <w:sz w:val="22"/>
          <w:shd w:val="clear" w:color="auto" w:fill="FFFFFF" w:themeFill="background1"/>
        </w:rPr>
        <w:t>5,4</w:t>
      </w:r>
      <w:r w:rsidR="000B3C41" w:rsidRPr="005F54F3">
        <w:rPr>
          <w:b w:val="0"/>
          <w:sz w:val="22"/>
          <w:shd w:val="clear" w:color="auto" w:fill="FFFFFF" w:themeFill="background1"/>
        </w:rPr>
        <w:t>% (</w:t>
      </w:r>
      <w:r w:rsidR="000B3C41">
        <w:rPr>
          <w:b w:val="0"/>
          <w:sz w:val="22"/>
        </w:rPr>
        <w:t>Vor</w:t>
      </w:r>
      <w:r w:rsidR="00F030DB">
        <w:rPr>
          <w:b w:val="0"/>
          <w:sz w:val="22"/>
        </w:rPr>
        <w:t>jahr 5,4</w:t>
      </w:r>
      <w:r w:rsidR="0061443D">
        <w:rPr>
          <w:b w:val="0"/>
          <w:sz w:val="22"/>
        </w:rPr>
        <w:t>%).</w:t>
      </w:r>
      <w:r w:rsidR="006E2C57">
        <w:rPr>
          <w:b w:val="0"/>
          <w:sz w:val="22"/>
        </w:rPr>
        <w:t xml:space="preserve"> </w:t>
      </w:r>
      <w:r>
        <w:rPr>
          <w:b w:val="0"/>
          <w:sz w:val="22"/>
        </w:rPr>
        <w:t>In 2013 wurden 1,34</w:t>
      </w:r>
      <w:r w:rsidR="006E2C57" w:rsidRPr="005F54F3">
        <w:rPr>
          <w:b w:val="0"/>
          <w:sz w:val="22"/>
        </w:rPr>
        <w:t xml:space="preserve"> Mio. EUR </w:t>
      </w:r>
      <w:r w:rsidR="002A1452" w:rsidRPr="005F54F3">
        <w:rPr>
          <w:b w:val="0"/>
          <w:sz w:val="22"/>
        </w:rPr>
        <w:t>der</w:t>
      </w:r>
      <w:r w:rsidR="002A1452">
        <w:rPr>
          <w:b w:val="0"/>
          <w:sz w:val="22"/>
        </w:rPr>
        <w:t xml:space="preserve"> Gesamtinvestitionen </w:t>
      </w:r>
      <w:r w:rsidR="005F54F3">
        <w:rPr>
          <w:b w:val="0"/>
          <w:sz w:val="22"/>
        </w:rPr>
        <w:t>durch Dritte finanziert (Beteiligungen Dritter an Umbaumaßna</w:t>
      </w:r>
      <w:r w:rsidR="005F54F3">
        <w:rPr>
          <w:b w:val="0"/>
          <w:sz w:val="22"/>
        </w:rPr>
        <w:t>h</w:t>
      </w:r>
      <w:r w:rsidR="005F54F3">
        <w:rPr>
          <w:b w:val="0"/>
          <w:sz w:val="22"/>
        </w:rPr>
        <w:t>men).</w:t>
      </w:r>
    </w:p>
    <w:p w:rsidR="00E82279" w:rsidRDefault="00C6738E" w:rsidP="007D12CB">
      <w:pPr>
        <w:pStyle w:val="Textkrper"/>
        <w:spacing w:after="60"/>
        <w:rPr>
          <w:b w:val="0"/>
          <w:sz w:val="22"/>
        </w:rPr>
      </w:pPr>
      <w:r>
        <w:rPr>
          <w:b w:val="0"/>
          <w:sz w:val="22"/>
        </w:rPr>
        <w:t>I</w:t>
      </w:r>
      <w:r w:rsidR="00A34CD6">
        <w:rPr>
          <w:b w:val="0"/>
          <w:sz w:val="22"/>
        </w:rPr>
        <w:t xml:space="preserve">n </w:t>
      </w:r>
      <w:r w:rsidR="00F030DB">
        <w:rPr>
          <w:b w:val="0"/>
          <w:sz w:val="22"/>
        </w:rPr>
        <w:t xml:space="preserve">das </w:t>
      </w:r>
      <w:r w:rsidR="00F030DB" w:rsidRPr="00A34CD6">
        <w:rPr>
          <w:b w:val="0"/>
          <w:sz w:val="22"/>
          <w:u w:val="dotted"/>
        </w:rPr>
        <w:t>Stuttgarter Kanalnetz</w:t>
      </w:r>
      <w:r w:rsidR="00F030DB">
        <w:rPr>
          <w:b w:val="0"/>
          <w:sz w:val="22"/>
        </w:rPr>
        <w:t xml:space="preserve"> wurden 2013 </w:t>
      </w:r>
      <w:r w:rsidR="0000180C">
        <w:rPr>
          <w:b w:val="0"/>
          <w:sz w:val="22"/>
        </w:rPr>
        <w:t>insgesamt 23,71</w:t>
      </w:r>
      <w:r w:rsidR="0000180C" w:rsidRPr="008874EB">
        <w:rPr>
          <w:b w:val="0"/>
          <w:sz w:val="22"/>
        </w:rPr>
        <w:t xml:space="preserve"> Mio. EUR (Vorjahr</w:t>
      </w:r>
      <w:r w:rsidR="0000180C">
        <w:rPr>
          <w:b w:val="0"/>
          <w:sz w:val="22"/>
        </w:rPr>
        <w:t xml:space="preserve"> 20,01</w:t>
      </w:r>
      <w:r w:rsidR="0000180C" w:rsidRPr="00E82279">
        <w:rPr>
          <w:b w:val="0"/>
          <w:sz w:val="22"/>
        </w:rPr>
        <w:t xml:space="preserve"> Mio. EUR) </w:t>
      </w:r>
      <w:r>
        <w:rPr>
          <w:b w:val="0"/>
          <w:sz w:val="22"/>
        </w:rPr>
        <w:t>investiert</w:t>
      </w:r>
      <w:r w:rsidR="00E82279" w:rsidRPr="00E82279">
        <w:rPr>
          <w:b w:val="0"/>
          <w:sz w:val="22"/>
        </w:rPr>
        <w:t xml:space="preserve">. </w:t>
      </w:r>
      <w:r w:rsidR="007D12CB">
        <w:rPr>
          <w:b w:val="0"/>
          <w:sz w:val="22"/>
        </w:rPr>
        <w:t>Dabei wurden</w:t>
      </w:r>
      <w:r w:rsidR="0000180C">
        <w:rPr>
          <w:b w:val="0"/>
          <w:sz w:val="22"/>
        </w:rPr>
        <w:t>,</w:t>
      </w:r>
      <w:r w:rsidR="007D12CB">
        <w:rPr>
          <w:b w:val="0"/>
          <w:sz w:val="22"/>
        </w:rPr>
        <w:t xml:space="preserve"> </w:t>
      </w:r>
      <w:r w:rsidR="002525B7">
        <w:rPr>
          <w:b w:val="0"/>
          <w:sz w:val="22"/>
          <w:szCs w:val="22"/>
          <w:lang w:eastAsia="de-DE"/>
        </w:rPr>
        <w:t>u</w:t>
      </w:r>
      <w:r w:rsidR="002525B7" w:rsidRPr="00271A6E">
        <w:rPr>
          <w:b w:val="0"/>
          <w:sz w:val="22"/>
          <w:szCs w:val="22"/>
          <w:lang w:eastAsia="de-DE"/>
        </w:rPr>
        <w:t>m den heutigen Anforderungen an ein leistungsfähiges K</w:t>
      </w:r>
      <w:r w:rsidR="002525B7" w:rsidRPr="00271A6E">
        <w:rPr>
          <w:b w:val="0"/>
          <w:sz w:val="22"/>
          <w:szCs w:val="22"/>
          <w:lang w:eastAsia="de-DE"/>
        </w:rPr>
        <w:t>a</w:t>
      </w:r>
      <w:r w:rsidR="002525B7" w:rsidRPr="00271A6E">
        <w:rPr>
          <w:b w:val="0"/>
          <w:sz w:val="22"/>
          <w:szCs w:val="22"/>
          <w:lang w:eastAsia="de-DE"/>
        </w:rPr>
        <w:t xml:space="preserve">nalnetz Rechnung </w:t>
      </w:r>
      <w:r w:rsidR="002525B7">
        <w:rPr>
          <w:b w:val="0"/>
          <w:sz w:val="22"/>
          <w:szCs w:val="22"/>
          <w:lang w:eastAsia="de-DE"/>
        </w:rPr>
        <w:t>zu tragen</w:t>
      </w:r>
      <w:r w:rsidR="0000180C">
        <w:rPr>
          <w:b w:val="0"/>
          <w:sz w:val="22"/>
          <w:szCs w:val="22"/>
          <w:lang w:eastAsia="de-DE"/>
        </w:rPr>
        <w:t>,</w:t>
      </w:r>
      <w:r w:rsidR="002525B7">
        <w:rPr>
          <w:b w:val="0"/>
          <w:sz w:val="22"/>
          <w:szCs w:val="22"/>
          <w:lang w:eastAsia="de-DE"/>
        </w:rPr>
        <w:t xml:space="preserve"> </w:t>
      </w:r>
      <w:r w:rsidR="007D12CB">
        <w:rPr>
          <w:b w:val="0"/>
          <w:sz w:val="22"/>
        </w:rPr>
        <w:t>Sanierungsprojekte von insgesamt 16,56 Mio. EUR, Erschli</w:t>
      </w:r>
      <w:r w:rsidR="007D12CB">
        <w:rPr>
          <w:b w:val="0"/>
          <w:sz w:val="22"/>
        </w:rPr>
        <w:t>e</w:t>
      </w:r>
      <w:r w:rsidR="007D12CB">
        <w:rPr>
          <w:b w:val="0"/>
          <w:sz w:val="22"/>
        </w:rPr>
        <w:t xml:space="preserve">ßungsprojekte in Höhe von 0,63 Mio. EUR </w:t>
      </w:r>
      <w:r w:rsidR="00205081">
        <w:rPr>
          <w:b w:val="0"/>
          <w:sz w:val="22"/>
        </w:rPr>
        <w:t xml:space="preserve">durchgeführt </w:t>
      </w:r>
      <w:r w:rsidR="007D12CB">
        <w:rPr>
          <w:b w:val="0"/>
          <w:sz w:val="22"/>
        </w:rPr>
        <w:t xml:space="preserve">und </w:t>
      </w:r>
      <w:r w:rsidR="002525B7">
        <w:rPr>
          <w:b w:val="0"/>
          <w:sz w:val="22"/>
        </w:rPr>
        <w:t xml:space="preserve">zur Verbesserung der </w:t>
      </w:r>
      <w:r w:rsidR="007D12CB">
        <w:rPr>
          <w:b w:val="0"/>
          <w:sz w:val="22"/>
        </w:rPr>
        <w:t>Rege</w:t>
      </w:r>
      <w:r w:rsidR="007D12CB">
        <w:rPr>
          <w:b w:val="0"/>
          <w:sz w:val="22"/>
        </w:rPr>
        <w:t>n</w:t>
      </w:r>
      <w:r w:rsidR="007D12CB">
        <w:rPr>
          <w:b w:val="0"/>
          <w:sz w:val="22"/>
        </w:rPr>
        <w:t xml:space="preserve">wasserbehandlung </w:t>
      </w:r>
      <w:r w:rsidR="002525B7">
        <w:rPr>
          <w:b w:val="0"/>
          <w:sz w:val="22"/>
        </w:rPr>
        <w:t xml:space="preserve">Maßnahmen in Höhe von </w:t>
      </w:r>
      <w:r w:rsidR="007D12CB">
        <w:rPr>
          <w:b w:val="0"/>
          <w:sz w:val="22"/>
        </w:rPr>
        <w:t xml:space="preserve">6,51 Mio. EUR </w:t>
      </w:r>
      <w:r w:rsidR="00205081">
        <w:rPr>
          <w:b w:val="0"/>
          <w:sz w:val="22"/>
        </w:rPr>
        <w:t>umgesetzt.</w:t>
      </w:r>
      <w:r w:rsidR="00BE74E0">
        <w:rPr>
          <w:b w:val="0"/>
          <w:sz w:val="22"/>
        </w:rPr>
        <w:t xml:space="preserve"> </w:t>
      </w:r>
      <w:r w:rsidR="00AD4F7C">
        <w:rPr>
          <w:b w:val="0"/>
          <w:sz w:val="22"/>
        </w:rPr>
        <w:t xml:space="preserve">Gleichzeitig </w:t>
      </w:r>
      <w:r w:rsidR="009A57DB">
        <w:rPr>
          <w:b w:val="0"/>
          <w:sz w:val="22"/>
        </w:rPr>
        <w:t>wurden</w:t>
      </w:r>
      <w:r w:rsidR="00AD4F7C" w:rsidRPr="00E82279">
        <w:rPr>
          <w:b w:val="0"/>
          <w:sz w:val="22"/>
        </w:rPr>
        <w:t xml:space="preserve"> </w:t>
      </w:r>
      <w:r w:rsidR="009A57DB">
        <w:rPr>
          <w:b w:val="0"/>
          <w:sz w:val="22"/>
        </w:rPr>
        <w:t xml:space="preserve">für das Kanalnetz </w:t>
      </w:r>
      <w:r w:rsidR="00BE74E0">
        <w:rPr>
          <w:b w:val="0"/>
          <w:sz w:val="22"/>
        </w:rPr>
        <w:t xml:space="preserve">Instandhaltungsarbeiten </w:t>
      </w:r>
      <w:r w:rsidR="00E82279" w:rsidRPr="00E82279">
        <w:rPr>
          <w:b w:val="0"/>
          <w:sz w:val="22"/>
        </w:rPr>
        <w:t>in Höhe</w:t>
      </w:r>
      <w:r w:rsidR="002A1452">
        <w:rPr>
          <w:b w:val="0"/>
          <w:sz w:val="22"/>
        </w:rPr>
        <w:t xml:space="preserve"> </w:t>
      </w:r>
      <w:r w:rsidR="009A57DB">
        <w:rPr>
          <w:b w:val="0"/>
          <w:sz w:val="22"/>
        </w:rPr>
        <w:t>von 3,02</w:t>
      </w:r>
      <w:r w:rsidR="00AD4F7C">
        <w:rPr>
          <w:b w:val="0"/>
          <w:sz w:val="22"/>
        </w:rPr>
        <w:t xml:space="preserve"> Mio. EUR </w:t>
      </w:r>
      <w:r w:rsidR="00205081">
        <w:rPr>
          <w:b w:val="0"/>
          <w:sz w:val="22"/>
        </w:rPr>
        <w:t>ausgeführt</w:t>
      </w:r>
      <w:r w:rsidR="009A57DB" w:rsidRPr="00205081">
        <w:rPr>
          <w:b w:val="0"/>
          <w:sz w:val="22"/>
        </w:rPr>
        <w:t xml:space="preserve"> </w:t>
      </w:r>
      <w:r w:rsidR="00AD4F7C" w:rsidRPr="00205081">
        <w:rPr>
          <w:b w:val="0"/>
          <w:sz w:val="22"/>
        </w:rPr>
        <w:t>(Vor</w:t>
      </w:r>
      <w:r w:rsidR="009A57DB" w:rsidRPr="00205081">
        <w:rPr>
          <w:b w:val="0"/>
          <w:sz w:val="22"/>
        </w:rPr>
        <w:t xml:space="preserve">jahr 2,15 Mio. EUR). </w:t>
      </w:r>
      <w:r w:rsidR="009A57DB" w:rsidRPr="00F030DB">
        <w:rPr>
          <w:b w:val="0"/>
          <w:sz w:val="22"/>
        </w:rPr>
        <w:t xml:space="preserve">Unter anderem konnte das Kanalnetz in 2013 auf einer Länge von </w:t>
      </w:r>
      <w:r w:rsidR="00F030DB" w:rsidRPr="00F030DB">
        <w:rPr>
          <w:b w:val="0"/>
          <w:sz w:val="22"/>
        </w:rPr>
        <w:t>9,1</w:t>
      </w:r>
      <w:r w:rsidR="009A57DB" w:rsidRPr="00F030DB">
        <w:rPr>
          <w:b w:val="0"/>
          <w:sz w:val="22"/>
        </w:rPr>
        <w:t xml:space="preserve"> Kil</w:t>
      </w:r>
      <w:r w:rsidR="009A57DB" w:rsidRPr="00F030DB">
        <w:rPr>
          <w:b w:val="0"/>
          <w:sz w:val="22"/>
        </w:rPr>
        <w:t>o</w:t>
      </w:r>
      <w:r w:rsidR="009A57DB" w:rsidRPr="00F030DB">
        <w:rPr>
          <w:b w:val="0"/>
          <w:sz w:val="22"/>
        </w:rPr>
        <w:t>metern saniert werden.</w:t>
      </w:r>
      <w:r w:rsidR="00E6582E" w:rsidRPr="00F030DB">
        <w:rPr>
          <w:b w:val="0"/>
          <w:sz w:val="22"/>
        </w:rPr>
        <w:t xml:space="preserve"> Der</w:t>
      </w:r>
      <w:r w:rsidR="00E6582E">
        <w:rPr>
          <w:b w:val="0"/>
          <w:sz w:val="22"/>
        </w:rPr>
        <w:t xml:space="preserve"> </w:t>
      </w:r>
      <w:r w:rsidR="00E6582E" w:rsidRPr="00E6582E">
        <w:rPr>
          <w:b w:val="0"/>
          <w:sz w:val="22"/>
        </w:rPr>
        <w:t xml:space="preserve">Kanalbetrieb </w:t>
      </w:r>
      <w:r w:rsidR="00E6582E">
        <w:rPr>
          <w:b w:val="0"/>
          <w:sz w:val="22"/>
        </w:rPr>
        <w:t>untersuchte im Berichtsjahr im Rahmen der Eige</w:t>
      </w:r>
      <w:r w:rsidR="00E6582E">
        <w:rPr>
          <w:b w:val="0"/>
          <w:sz w:val="22"/>
        </w:rPr>
        <w:t>n</w:t>
      </w:r>
      <w:r w:rsidR="00E6582E">
        <w:rPr>
          <w:b w:val="0"/>
          <w:sz w:val="22"/>
        </w:rPr>
        <w:t>kontrollverordnung rund 147 Kilometer Kanäle (Vorjahr 148 km) und 3870 Anschlusskanäle (Vorjahr 5.800). Durch die Mitarbeiter wurden 584 Kilometer Kanäle (Vorjahr 525 km) gere</w:t>
      </w:r>
      <w:r w:rsidR="00E6582E">
        <w:rPr>
          <w:b w:val="0"/>
          <w:sz w:val="22"/>
        </w:rPr>
        <w:t>i</w:t>
      </w:r>
      <w:r w:rsidR="00E6582E">
        <w:rPr>
          <w:b w:val="0"/>
          <w:sz w:val="22"/>
        </w:rPr>
        <w:t>nigt, 2200 Inspektionsgänge (Vorjahr 2.160) absolviert und 1200 Störungen (Vorjahr 1.100) im Netz beseitigt.</w:t>
      </w:r>
    </w:p>
    <w:p w:rsidR="00B77303" w:rsidRDefault="00E82279" w:rsidP="00BE74E0">
      <w:pPr>
        <w:pStyle w:val="Textkrper"/>
        <w:spacing w:after="60"/>
        <w:rPr>
          <w:b w:val="0"/>
          <w:sz w:val="22"/>
        </w:rPr>
      </w:pPr>
      <w:r w:rsidRPr="00E82279">
        <w:rPr>
          <w:b w:val="0"/>
          <w:sz w:val="22"/>
        </w:rPr>
        <w:t xml:space="preserve">In die </w:t>
      </w:r>
      <w:r w:rsidR="00426C9E">
        <w:rPr>
          <w:b w:val="0"/>
          <w:sz w:val="22"/>
        </w:rPr>
        <w:t>vier</w:t>
      </w:r>
      <w:r w:rsidR="00C717DC">
        <w:rPr>
          <w:b w:val="0"/>
          <w:sz w:val="22"/>
        </w:rPr>
        <w:t xml:space="preserve"> </w:t>
      </w:r>
      <w:r w:rsidRPr="00A34CD6">
        <w:rPr>
          <w:b w:val="0"/>
          <w:sz w:val="22"/>
          <w:u w:val="dotted"/>
        </w:rPr>
        <w:t xml:space="preserve">Klärwerke </w:t>
      </w:r>
      <w:r w:rsidR="00B77303">
        <w:rPr>
          <w:b w:val="0"/>
          <w:sz w:val="22"/>
        </w:rPr>
        <w:t>wurd</w:t>
      </w:r>
      <w:r w:rsidR="00426C9E">
        <w:rPr>
          <w:b w:val="0"/>
          <w:sz w:val="22"/>
        </w:rPr>
        <w:t>en 15,85</w:t>
      </w:r>
      <w:r w:rsidR="009A57DB">
        <w:rPr>
          <w:b w:val="0"/>
          <w:sz w:val="22"/>
        </w:rPr>
        <w:t xml:space="preserve"> Mio. EUR (Vorjahr 18,34</w:t>
      </w:r>
      <w:r w:rsidRPr="00E82279">
        <w:rPr>
          <w:b w:val="0"/>
          <w:sz w:val="22"/>
        </w:rPr>
        <w:t xml:space="preserve"> Mio. EUR) investiert. </w:t>
      </w:r>
      <w:r w:rsidR="00426C9E" w:rsidRPr="00426C9E">
        <w:rPr>
          <w:b w:val="0"/>
          <w:sz w:val="22"/>
        </w:rPr>
        <w:t>Von rund 50 aktuell bearbeiteten Projekten über 100.000 EUR waren 14 Projekte in der Bauphase. Es handelt sich dabei im Wesentlichen um Maßnahmen zur Verbesserung der Reinigungslei</w:t>
      </w:r>
      <w:r w:rsidR="00426C9E" w:rsidRPr="00426C9E">
        <w:rPr>
          <w:b w:val="0"/>
          <w:sz w:val="22"/>
        </w:rPr>
        <w:t>s</w:t>
      </w:r>
      <w:r w:rsidR="00426C9E" w:rsidRPr="00426C9E">
        <w:rPr>
          <w:b w:val="0"/>
          <w:sz w:val="22"/>
        </w:rPr>
        <w:t>tung, zur Ertüchtigung bzw. Erneuerung von Anlagenteilen und zur Steigerung der Energiee</w:t>
      </w:r>
      <w:r w:rsidR="00426C9E" w:rsidRPr="00426C9E">
        <w:rPr>
          <w:b w:val="0"/>
          <w:sz w:val="22"/>
        </w:rPr>
        <w:t>f</w:t>
      </w:r>
      <w:r w:rsidR="00426C9E" w:rsidRPr="00426C9E">
        <w:rPr>
          <w:b w:val="0"/>
          <w:sz w:val="22"/>
        </w:rPr>
        <w:t>fizienz.</w:t>
      </w:r>
      <w:r w:rsidR="00426C9E">
        <w:rPr>
          <w:b w:val="0"/>
          <w:sz w:val="22"/>
        </w:rPr>
        <w:t xml:space="preserve"> </w:t>
      </w:r>
      <w:r w:rsidR="00BE74E0">
        <w:rPr>
          <w:b w:val="0"/>
          <w:sz w:val="22"/>
        </w:rPr>
        <w:t xml:space="preserve">Dabei wurden Projekte im Hauptklärwerk in Höhe von 10,15 Mio. EUR, im Klärwerk Möhringen von 0,97 Mio. EUR, im Klärwerk </w:t>
      </w:r>
      <w:proofErr w:type="spellStart"/>
      <w:r w:rsidR="00BE74E0">
        <w:rPr>
          <w:b w:val="0"/>
          <w:sz w:val="22"/>
        </w:rPr>
        <w:t>Plieningen</w:t>
      </w:r>
      <w:proofErr w:type="spellEnd"/>
      <w:r w:rsidR="00BE74E0">
        <w:rPr>
          <w:b w:val="0"/>
          <w:sz w:val="22"/>
        </w:rPr>
        <w:t xml:space="preserve"> von 0,76 Mio. EUR und im Gruppe</w:t>
      </w:r>
      <w:r w:rsidR="00BE74E0">
        <w:rPr>
          <w:b w:val="0"/>
          <w:sz w:val="22"/>
        </w:rPr>
        <w:t>n</w:t>
      </w:r>
      <w:r w:rsidR="00BE74E0">
        <w:rPr>
          <w:b w:val="0"/>
          <w:sz w:val="22"/>
        </w:rPr>
        <w:t xml:space="preserve">klärwerk Ditzingen in Höhe von 2,36 Mio. EUR abgeschlossen. </w:t>
      </w:r>
      <w:r w:rsidR="00B77303">
        <w:rPr>
          <w:b w:val="0"/>
          <w:sz w:val="22"/>
        </w:rPr>
        <w:t xml:space="preserve">Gleichzeitig </w:t>
      </w:r>
      <w:r w:rsidR="00BE74E0">
        <w:rPr>
          <w:b w:val="0"/>
          <w:sz w:val="22"/>
        </w:rPr>
        <w:t xml:space="preserve">wurden </w:t>
      </w:r>
      <w:r w:rsidR="005E0D94">
        <w:rPr>
          <w:b w:val="0"/>
          <w:sz w:val="22"/>
        </w:rPr>
        <w:t>Instan</w:t>
      </w:r>
      <w:r w:rsidR="005E0D94">
        <w:rPr>
          <w:b w:val="0"/>
          <w:sz w:val="22"/>
        </w:rPr>
        <w:t>d</w:t>
      </w:r>
      <w:r w:rsidR="005E0D94">
        <w:rPr>
          <w:b w:val="0"/>
          <w:sz w:val="22"/>
        </w:rPr>
        <w:t>haltungsarbeiten</w:t>
      </w:r>
      <w:r w:rsidR="00B77303" w:rsidRPr="00E82279">
        <w:rPr>
          <w:b w:val="0"/>
          <w:sz w:val="22"/>
        </w:rPr>
        <w:t xml:space="preserve"> in Höhe</w:t>
      </w:r>
      <w:r w:rsidR="005E0D94">
        <w:rPr>
          <w:b w:val="0"/>
          <w:sz w:val="22"/>
        </w:rPr>
        <w:t xml:space="preserve"> von 5,32 Mio. EUR (Vorjahr 3,90 Mio. EUR) durchgeführt</w:t>
      </w:r>
      <w:r w:rsidR="00B77303" w:rsidRPr="00E82279">
        <w:rPr>
          <w:b w:val="0"/>
          <w:sz w:val="22"/>
        </w:rPr>
        <w:t>.</w:t>
      </w:r>
    </w:p>
    <w:p w:rsidR="00BE74E0" w:rsidRDefault="00BE74E0" w:rsidP="00BE74E0">
      <w:pPr>
        <w:pStyle w:val="Textkrper"/>
        <w:spacing w:after="60"/>
        <w:rPr>
          <w:b w:val="0"/>
          <w:sz w:val="22"/>
        </w:rPr>
      </w:pPr>
      <w:r>
        <w:rPr>
          <w:b w:val="0"/>
          <w:sz w:val="22"/>
        </w:rPr>
        <w:t>Maßnahmen, die in 2013 noch nicht abgeschlossen wurden werden als Anlagen im Bau g</w:t>
      </w:r>
      <w:r>
        <w:rPr>
          <w:b w:val="0"/>
          <w:sz w:val="22"/>
        </w:rPr>
        <w:t>e</w:t>
      </w:r>
      <w:r>
        <w:rPr>
          <w:b w:val="0"/>
          <w:sz w:val="22"/>
        </w:rPr>
        <w:t>führt. Im Kanalnetz sind 29,04 Mio. EUR (Vorjahr 25,84 Mio. EUR) und in den Klärwerken 26,13 Mio. EUR (Vorjahr 16,51 Mio. EUR) unter Anlagen im Bau gebucht.</w:t>
      </w:r>
    </w:p>
    <w:p w:rsidR="00AE58FD" w:rsidRDefault="00A431D0" w:rsidP="00AE58FD">
      <w:pPr>
        <w:pStyle w:val="Textkrper"/>
        <w:rPr>
          <w:b w:val="0"/>
          <w:sz w:val="22"/>
        </w:rPr>
      </w:pPr>
      <w:r>
        <w:rPr>
          <w:b w:val="0"/>
          <w:sz w:val="22"/>
        </w:rPr>
        <w:t xml:space="preserve">Die Zielgrößen </w:t>
      </w:r>
      <w:r w:rsidR="005E0D94">
        <w:rPr>
          <w:b w:val="0"/>
          <w:sz w:val="22"/>
        </w:rPr>
        <w:t xml:space="preserve">2013 </w:t>
      </w:r>
      <w:r w:rsidR="00921ED7">
        <w:rPr>
          <w:b w:val="0"/>
          <w:sz w:val="22"/>
        </w:rPr>
        <w:t>des Vermögensplans wurden im</w:t>
      </w:r>
      <w:r w:rsidR="005E0D94">
        <w:rPr>
          <w:b w:val="0"/>
          <w:sz w:val="22"/>
        </w:rPr>
        <w:t xml:space="preserve"> Investitionscontrol</w:t>
      </w:r>
      <w:r w:rsidR="00921ED7">
        <w:rPr>
          <w:b w:val="0"/>
          <w:sz w:val="22"/>
        </w:rPr>
        <w:t xml:space="preserve">ling </w:t>
      </w:r>
      <w:r w:rsidR="005E0D94">
        <w:rPr>
          <w:b w:val="0"/>
          <w:sz w:val="22"/>
        </w:rPr>
        <w:t xml:space="preserve">innerhalb des </w:t>
      </w:r>
      <w:r w:rsidR="00921ED7">
        <w:rPr>
          <w:b w:val="0"/>
          <w:sz w:val="22"/>
        </w:rPr>
        <w:t xml:space="preserve">vorgegebenen </w:t>
      </w:r>
      <w:r w:rsidR="005E0D94">
        <w:rPr>
          <w:b w:val="0"/>
          <w:sz w:val="22"/>
        </w:rPr>
        <w:t xml:space="preserve">Zielkorridors von +/- 5% </w:t>
      </w:r>
      <w:r>
        <w:rPr>
          <w:b w:val="0"/>
          <w:sz w:val="22"/>
        </w:rPr>
        <w:t>eingehalten</w:t>
      </w:r>
      <w:r w:rsidR="00903A62">
        <w:rPr>
          <w:b w:val="0"/>
          <w:sz w:val="22"/>
        </w:rPr>
        <w:t>.</w:t>
      </w:r>
      <w:r w:rsidR="005B4BF4">
        <w:rPr>
          <w:b w:val="0"/>
          <w:sz w:val="22"/>
        </w:rPr>
        <w:t xml:space="preserve"> Zur Finanzierung der Vermögenspla</w:t>
      </w:r>
      <w:r w:rsidR="005B4BF4">
        <w:rPr>
          <w:b w:val="0"/>
          <w:sz w:val="22"/>
        </w:rPr>
        <w:t>n</w:t>
      </w:r>
      <w:r w:rsidR="005B4BF4">
        <w:rPr>
          <w:b w:val="0"/>
          <w:sz w:val="22"/>
        </w:rPr>
        <w:t>ausgaben war eine Kreditaufnahme in Höhe von 28,58 Mio. EUR eingeplant, diese wurde auch aufgenommen.</w:t>
      </w:r>
    </w:p>
    <w:p w:rsidR="00683A8B" w:rsidRDefault="00683A8B" w:rsidP="00AE58FD">
      <w:pPr>
        <w:pStyle w:val="Textkrper"/>
        <w:rPr>
          <w:b w:val="0"/>
          <w:sz w:val="22"/>
        </w:rPr>
      </w:pPr>
    </w:p>
    <w:p w:rsidR="00683A8B" w:rsidRDefault="00683A8B" w:rsidP="00AE58FD">
      <w:pPr>
        <w:pStyle w:val="Textkrper"/>
        <w:rPr>
          <w:b w:val="0"/>
          <w:sz w:val="22"/>
        </w:rPr>
      </w:pPr>
    </w:p>
    <w:p w:rsidR="006815E6" w:rsidRDefault="006815E6" w:rsidP="006815E6">
      <w:pPr>
        <w:rPr>
          <w:b/>
        </w:rPr>
      </w:pPr>
      <w:r w:rsidRPr="006D7FD9">
        <w:rPr>
          <w:b/>
        </w:rPr>
        <w:t>FINANZSTRUKTUR</w:t>
      </w:r>
      <w:r w:rsidR="00CE65A6">
        <w:rPr>
          <w:b/>
        </w:rPr>
        <w:t xml:space="preserve"> (Vermögen/Kapital)</w:t>
      </w:r>
    </w:p>
    <w:p w:rsidR="00AB2CD2" w:rsidRDefault="00AB2CD2" w:rsidP="00C14369">
      <w:pPr>
        <w:shd w:val="clear" w:color="auto" w:fill="FFFFFF" w:themeFill="background1"/>
        <w:jc w:val="both"/>
        <w:rPr>
          <w:sz w:val="22"/>
          <w:szCs w:val="22"/>
        </w:rPr>
      </w:pPr>
      <w:r w:rsidRPr="00AB2CD2">
        <w:rPr>
          <w:noProof/>
          <w:sz w:val="22"/>
          <w:szCs w:val="22"/>
          <w:lang w:eastAsia="de-DE"/>
        </w:rPr>
        <w:drawing>
          <wp:inline distT="0" distB="0" distL="0" distR="0">
            <wp:extent cx="5759450" cy="946885"/>
            <wp:effectExtent l="19050" t="0" r="0" b="0"/>
            <wp:docPr id="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390" t="29381" r="6684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D2" w:rsidRDefault="00AB2CD2" w:rsidP="00C14369">
      <w:pPr>
        <w:shd w:val="clear" w:color="auto" w:fill="FFFFFF" w:themeFill="background1"/>
        <w:jc w:val="both"/>
        <w:rPr>
          <w:sz w:val="22"/>
          <w:szCs w:val="22"/>
        </w:rPr>
      </w:pPr>
    </w:p>
    <w:p w:rsidR="00D91455" w:rsidRDefault="00D91455" w:rsidP="00C14369">
      <w:pPr>
        <w:shd w:val="clear" w:color="auto" w:fill="FFFFFF" w:themeFill="background1"/>
        <w:jc w:val="both"/>
        <w:rPr>
          <w:noProof/>
          <w:szCs w:val="22"/>
          <w:lang w:eastAsia="de-DE"/>
        </w:rPr>
      </w:pPr>
      <w:r w:rsidRPr="00C14369">
        <w:rPr>
          <w:sz w:val="22"/>
          <w:szCs w:val="22"/>
        </w:rPr>
        <w:t xml:space="preserve">Das </w:t>
      </w:r>
      <w:r w:rsidRPr="00C14369">
        <w:rPr>
          <w:sz w:val="22"/>
          <w:szCs w:val="22"/>
          <w:u w:val="single"/>
        </w:rPr>
        <w:t>Gesamtvermögen</w:t>
      </w:r>
      <w:r w:rsidRPr="00C14369">
        <w:rPr>
          <w:sz w:val="22"/>
          <w:szCs w:val="22"/>
        </w:rPr>
        <w:t xml:space="preserve"> der SES </w:t>
      </w:r>
      <w:r w:rsidR="007C66E6" w:rsidRPr="00C14369">
        <w:rPr>
          <w:sz w:val="22"/>
          <w:szCs w:val="22"/>
        </w:rPr>
        <w:t xml:space="preserve">stieg </w:t>
      </w:r>
      <w:r w:rsidR="00146573">
        <w:rPr>
          <w:sz w:val="22"/>
          <w:szCs w:val="22"/>
        </w:rPr>
        <w:t>auf</w:t>
      </w:r>
      <w:r w:rsidR="00F739C3" w:rsidRPr="00C14369">
        <w:rPr>
          <w:sz w:val="22"/>
          <w:szCs w:val="22"/>
        </w:rPr>
        <w:t xml:space="preserve"> </w:t>
      </w:r>
      <w:r w:rsidR="00C33D76" w:rsidRPr="00C14369">
        <w:rPr>
          <w:sz w:val="22"/>
          <w:szCs w:val="22"/>
        </w:rPr>
        <w:t>7</w:t>
      </w:r>
      <w:r w:rsidR="00146573">
        <w:rPr>
          <w:sz w:val="22"/>
          <w:szCs w:val="22"/>
        </w:rPr>
        <w:t>51,99 Mio. EUR (Vorjahr 748,94</w:t>
      </w:r>
      <w:r w:rsidR="004A4D3C" w:rsidRPr="00C14369">
        <w:rPr>
          <w:sz w:val="22"/>
          <w:szCs w:val="22"/>
        </w:rPr>
        <w:t xml:space="preserve"> Mio. EUR).</w:t>
      </w:r>
      <w:r w:rsidR="0084101A" w:rsidRPr="00C14369">
        <w:rPr>
          <w:sz w:val="22"/>
          <w:szCs w:val="22"/>
        </w:rPr>
        <w:t xml:space="preserve"> </w:t>
      </w:r>
      <w:r w:rsidR="00C405D2" w:rsidRPr="00C14369">
        <w:rPr>
          <w:sz w:val="22"/>
          <w:szCs w:val="22"/>
        </w:rPr>
        <w:t xml:space="preserve">Dabei erhöhte sich das technische </w:t>
      </w:r>
      <w:r w:rsidR="00C405D2" w:rsidRPr="00C14369">
        <w:rPr>
          <w:sz w:val="22"/>
          <w:szCs w:val="22"/>
          <w:u w:val="dotted"/>
        </w:rPr>
        <w:t>Anlagevermögen Kanalnetz</w:t>
      </w:r>
      <w:r w:rsidR="00C405D2" w:rsidRPr="00C14369">
        <w:rPr>
          <w:sz w:val="22"/>
          <w:szCs w:val="22"/>
        </w:rPr>
        <w:t xml:space="preserve"> </w:t>
      </w:r>
      <w:r w:rsidR="00164996">
        <w:rPr>
          <w:sz w:val="22"/>
          <w:szCs w:val="22"/>
        </w:rPr>
        <w:t>auf 453,56</w:t>
      </w:r>
      <w:r w:rsidR="00C405D2" w:rsidRPr="00C14369">
        <w:rPr>
          <w:sz w:val="22"/>
          <w:szCs w:val="22"/>
        </w:rPr>
        <w:t xml:space="preserve"> Mio. EUR (Vor</w:t>
      </w:r>
      <w:r w:rsidR="0084101A" w:rsidRPr="00C14369">
        <w:rPr>
          <w:sz w:val="22"/>
          <w:szCs w:val="22"/>
        </w:rPr>
        <w:t>j</w:t>
      </w:r>
      <w:r w:rsidR="00164996">
        <w:rPr>
          <w:sz w:val="22"/>
          <w:szCs w:val="22"/>
        </w:rPr>
        <w:t>ahr 449,21</w:t>
      </w:r>
      <w:r w:rsidR="00C405D2" w:rsidRPr="00C14369">
        <w:rPr>
          <w:sz w:val="22"/>
          <w:szCs w:val="22"/>
        </w:rPr>
        <w:t xml:space="preserve"> Mio. EUR). </w:t>
      </w:r>
      <w:r w:rsidR="00164996">
        <w:rPr>
          <w:sz w:val="22"/>
          <w:szCs w:val="22"/>
        </w:rPr>
        <w:t>D</w:t>
      </w:r>
      <w:r w:rsidR="00C405D2" w:rsidRPr="00C14369">
        <w:rPr>
          <w:sz w:val="22"/>
          <w:szCs w:val="22"/>
        </w:rPr>
        <w:t xml:space="preserve">as technische </w:t>
      </w:r>
      <w:r w:rsidR="00C405D2" w:rsidRPr="00C14369">
        <w:rPr>
          <w:sz w:val="22"/>
          <w:szCs w:val="22"/>
          <w:u w:val="dotted"/>
        </w:rPr>
        <w:t>Anlagevermögen der Klärwerke</w:t>
      </w:r>
      <w:r w:rsidR="00C405D2" w:rsidRPr="00C14369">
        <w:rPr>
          <w:sz w:val="22"/>
          <w:szCs w:val="22"/>
        </w:rPr>
        <w:t xml:space="preserve"> </w:t>
      </w:r>
      <w:r w:rsidR="00164996">
        <w:rPr>
          <w:sz w:val="22"/>
          <w:szCs w:val="22"/>
        </w:rPr>
        <w:t>ging</w:t>
      </w:r>
      <w:r w:rsidR="00C405D2" w:rsidRPr="00C14369">
        <w:rPr>
          <w:sz w:val="22"/>
          <w:szCs w:val="22"/>
        </w:rPr>
        <w:t xml:space="preserve"> </w:t>
      </w:r>
      <w:r w:rsidR="00C33D76" w:rsidRPr="00C14369">
        <w:rPr>
          <w:sz w:val="22"/>
          <w:szCs w:val="22"/>
        </w:rPr>
        <w:t>auf</w:t>
      </w:r>
      <w:r w:rsidR="00164996">
        <w:rPr>
          <w:sz w:val="22"/>
          <w:szCs w:val="22"/>
        </w:rPr>
        <w:t xml:space="preserve"> 212,13 Mio. </w:t>
      </w:r>
      <w:r w:rsidR="00164996">
        <w:rPr>
          <w:sz w:val="22"/>
          <w:szCs w:val="22"/>
        </w:rPr>
        <w:lastRenderedPageBreak/>
        <w:t>EUR zurück (Vorjahr 224,17</w:t>
      </w:r>
      <w:r w:rsidR="00C405D2" w:rsidRPr="00C14369">
        <w:rPr>
          <w:sz w:val="22"/>
          <w:szCs w:val="22"/>
        </w:rPr>
        <w:t xml:space="preserve"> Mio. EUR). Die </w:t>
      </w:r>
      <w:r w:rsidR="00C405D2" w:rsidRPr="00C14369">
        <w:rPr>
          <w:sz w:val="22"/>
          <w:szCs w:val="22"/>
          <w:u w:val="dotted"/>
        </w:rPr>
        <w:t>Anlagen im Bau</w:t>
      </w:r>
      <w:r w:rsidR="00C405D2" w:rsidRPr="00C14369">
        <w:rPr>
          <w:sz w:val="22"/>
          <w:szCs w:val="22"/>
        </w:rPr>
        <w:t xml:space="preserve"> </w:t>
      </w:r>
      <w:r w:rsidR="00164996">
        <w:rPr>
          <w:sz w:val="22"/>
          <w:szCs w:val="22"/>
        </w:rPr>
        <w:t>stiegen</w:t>
      </w:r>
      <w:r w:rsidR="002277AF" w:rsidRPr="00C14369">
        <w:rPr>
          <w:sz w:val="22"/>
          <w:szCs w:val="22"/>
        </w:rPr>
        <w:t xml:space="preserve"> zum Jahresende </w:t>
      </w:r>
      <w:r w:rsidR="00164996">
        <w:rPr>
          <w:sz w:val="22"/>
          <w:szCs w:val="22"/>
        </w:rPr>
        <w:t>auf 55,18</w:t>
      </w:r>
      <w:r w:rsidR="002277AF" w:rsidRPr="00C14369">
        <w:rPr>
          <w:sz w:val="22"/>
          <w:szCs w:val="22"/>
        </w:rPr>
        <w:t xml:space="preserve"> Mio. EUR</w:t>
      </w:r>
      <w:r w:rsidR="0084101A" w:rsidRPr="00C14369">
        <w:rPr>
          <w:sz w:val="22"/>
          <w:szCs w:val="22"/>
        </w:rPr>
        <w:t xml:space="preserve"> </w:t>
      </w:r>
      <w:r w:rsidR="00C33D76" w:rsidRPr="00C14369">
        <w:rPr>
          <w:sz w:val="22"/>
          <w:szCs w:val="22"/>
        </w:rPr>
        <w:t>(Vorjahr</w:t>
      </w:r>
      <w:r w:rsidR="00164996">
        <w:rPr>
          <w:sz w:val="22"/>
          <w:szCs w:val="22"/>
        </w:rPr>
        <w:t xml:space="preserve"> 42,36</w:t>
      </w:r>
      <w:r w:rsidR="00C405D2" w:rsidRPr="00C14369">
        <w:rPr>
          <w:sz w:val="22"/>
          <w:szCs w:val="22"/>
        </w:rPr>
        <w:t xml:space="preserve"> Mio. EUR</w:t>
      </w:r>
      <w:r w:rsidR="00C33D76" w:rsidRPr="00C14369">
        <w:rPr>
          <w:sz w:val="22"/>
          <w:szCs w:val="22"/>
        </w:rPr>
        <w:t>).</w:t>
      </w:r>
      <w:r w:rsidR="00C14369">
        <w:rPr>
          <w:sz w:val="22"/>
          <w:szCs w:val="22"/>
        </w:rPr>
        <w:t xml:space="preserve"> </w:t>
      </w:r>
      <w:r w:rsidR="005E31B7">
        <w:rPr>
          <w:sz w:val="22"/>
          <w:szCs w:val="22"/>
        </w:rPr>
        <w:t xml:space="preserve">Unter dem </w:t>
      </w:r>
      <w:r w:rsidR="005E31B7" w:rsidRPr="005E31B7">
        <w:rPr>
          <w:sz w:val="22"/>
          <w:szCs w:val="22"/>
          <w:u w:val="dotted"/>
        </w:rPr>
        <w:t>sonstigen Anlagevermögen</w:t>
      </w:r>
      <w:r w:rsidR="005E31B7">
        <w:rPr>
          <w:sz w:val="22"/>
          <w:szCs w:val="22"/>
        </w:rPr>
        <w:t xml:space="preserve"> in Höhe von 20,80 Mio. EUR (Vorjahr 21,45 Mio. EUR) sind die betriebsnotwendigen Grundstücke und Gebäude, die Betriebs- und Geschäftsausstattung und die immaterielle Vermögensg</w:t>
      </w:r>
      <w:r w:rsidR="005E31B7">
        <w:rPr>
          <w:sz w:val="22"/>
          <w:szCs w:val="22"/>
        </w:rPr>
        <w:t>e</w:t>
      </w:r>
      <w:r w:rsidR="005E31B7">
        <w:rPr>
          <w:sz w:val="22"/>
          <w:szCs w:val="22"/>
        </w:rPr>
        <w:t xml:space="preserve">genstände zusammengefasst. </w:t>
      </w:r>
      <w:r w:rsidR="00C14369">
        <w:rPr>
          <w:sz w:val="22"/>
          <w:szCs w:val="22"/>
        </w:rPr>
        <w:t xml:space="preserve">Das </w:t>
      </w:r>
      <w:r w:rsidR="00C14369" w:rsidRPr="00C14369">
        <w:rPr>
          <w:sz w:val="22"/>
          <w:szCs w:val="22"/>
          <w:u w:val="dotted"/>
        </w:rPr>
        <w:t>Umlaufvermögen</w:t>
      </w:r>
      <w:r w:rsidR="00164996">
        <w:rPr>
          <w:sz w:val="22"/>
          <w:szCs w:val="22"/>
        </w:rPr>
        <w:t xml:space="preserve"> lag bei 10,27</w:t>
      </w:r>
      <w:r w:rsidR="00C14369">
        <w:rPr>
          <w:sz w:val="22"/>
          <w:szCs w:val="22"/>
        </w:rPr>
        <w:t xml:space="preserve"> Mio. EUR (Vor</w:t>
      </w:r>
      <w:r w:rsidR="00164996">
        <w:rPr>
          <w:sz w:val="22"/>
          <w:szCs w:val="22"/>
        </w:rPr>
        <w:t>jahr 11,70 Mio. EUR)</w:t>
      </w:r>
      <w:r w:rsidR="00C14369">
        <w:rPr>
          <w:sz w:val="22"/>
          <w:szCs w:val="22"/>
        </w:rPr>
        <w:t>.</w:t>
      </w:r>
      <w:r w:rsidR="00D970FE" w:rsidRPr="00D970FE">
        <w:rPr>
          <w:noProof/>
          <w:szCs w:val="22"/>
          <w:lang w:eastAsia="de-DE"/>
        </w:rPr>
        <w:t xml:space="preserve"> </w:t>
      </w:r>
    </w:p>
    <w:p w:rsidR="0084101A" w:rsidRDefault="0084101A" w:rsidP="00C14369">
      <w:pPr>
        <w:shd w:val="clear" w:color="auto" w:fill="FFFFFF" w:themeFill="background1"/>
        <w:jc w:val="both"/>
        <w:rPr>
          <w:sz w:val="22"/>
          <w:szCs w:val="22"/>
        </w:rPr>
      </w:pPr>
    </w:p>
    <w:p w:rsidR="00AB2CD2" w:rsidRDefault="00AB2CD2" w:rsidP="00C14369">
      <w:pPr>
        <w:shd w:val="clear" w:color="auto" w:fill="FFFFFF" w:themeFill="background1"/>
        <w:jc w:val="both"/>
        <w:rPr>
          <w:sz w:val="22"/>
          <w:szCs w:val="22"/>
        </w:rPr>
      </w:pPr>
    </w:p>
    <w:p w:rsidR="00337A0B" w:rsidRDefault="00AB2CD2" w:rsidP="006815E6">
      <w:pPr>
        <w:jc w:val="both"/>
        <w:rPr>
          <w:sz w:val="22"/>
          <w:szCs w:val="22"/>
        </w:rPr>
      </w:pPr>
      <w:r w:rsidRPr="00AB2CD2">
        <w:rPr>
          <w:noProof/>
          <w:sz w:val="22"/>
          <w:szCs w:val="22"/>
          <w:lang w:eastAsia="de-DE"/>
        </w:rPr>
        <w:drawing>
          <wp:inline distT="0" distB="0" distL="0" distR="0">
            <wp:extent cx="5759450" cy="989468"/>
            <wp:effectExtent l="19050" t="0" r="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0655" t="27835" r="7677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AB" w:rsidRDefault="002E08AB" w:rsidP="006815E6">
      <w:pPr>
        <w:jc w:val="both"/>
        <w:rPr>
          <w:sz w:val="22"/>
          <w:szCs w:val="22"/>
        </w:rPr>
      </w:pPr>
    </w:p>
    <w:p w:rsidR="00337A0B" w:rsidRDefault="00A56F94" w:rsidP="007103AF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Pr="00ED0583">
        <w:rPr>
          <w:sz w:val="22"/>
          <w:szCs w:val="22"/>
          <w:u w:val="single"/>
        </w:rPr>
        <w:t>Gesamtkapital</w:t>
      </w:r>
      <w:r w:rsidR="009E1967">
        <w:rPr>
          <w:sz w:val="22"/>
          <w:szCs w:val="22"/>
        </w:rPr>
        <w:t xml:space="preserve"> der SES lag 2013</w:t>
      </w:r>
      <w:r w:rsidR="00A631EF">
        <w:rPr>
          <w:sz w:val="22"/>
          <w:szCs w:val="22"/>
        </w:rPr>
        <w:t xml:space="preserve"> bei </w:t>
      </w:r>
      <w:r w:rsidR="009E1967">
        <w:rPr>
          <w:sz w:val="22"/>
          <w:szCs w:val="22"/>
        </w:rPr>
        <w:t>751,99 Mio. EUR (Vorjahr 748,94</w:t>
      </w:r>
      <w:r w:rsidR="004A4D3C">
        <w:rPr>
          <w:sz w:val="22"/>
          <w:szCs w:val="22"/>
        </w:rPr>
        <w:t xml:space="preserve"> </w:t>
      </w:r>
      <w:r>
        <w:rPr>
          <w:sz w:val="22"/>
          <w:szCs w:val="22"/>
        </w:rPr>
        <w:t>Mio. EUR)</w:t>
      </w:r>
      <w:r w:rsidR="00ED0583">
        <w:rPr>
          <w:sz w:val="22"/>
          <w:szCs w:val="22"/>
        </w:rPr>
        <w:t>.</w:t>
      </w:r>
    </w:p>
    <w:p w:rsidR="006815E6" w:rsidRDefault="00ED0583" w:rsidP="007103AF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B2EE5">
        <w:rPr>
          <w:sz w:val="22"/>
          <w:szCs w:val="22"/>
        </w:rPr>
        <w:t xml:space="preserve">ie </w:t>
      </w:r>
      <w:r w:rsidRPr="00ED0583">
        <w:rPr>
          <w:sz w:val="22"/>
          <w:szCs w:val="22"/>
          <w:u w:val="dotted"/>
        </w:rPr>
        <w:t>Verbindlichkeiten</w:t>
      </w:r>
      <w:r w:rsidRPr="009B2E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stiegen </w:t>
      </w:r>
      <w:r w:rsidR="00262C5B">
        <w:rPr>
          <w:sz w:val="22"/>
          <w:szCs w:val="22"/>
        </w:rPr>
        <w:t xml:space="preserve">dabei </w:t>
      </w:r>
      <w:r>
        <w:rPr>
          <w:sz w:val="22"/>
          <w:szCs w:val="22"/>
        </w:rPr>
        <w:t xml:space="preserve">auf </w:t>
      </w:r>
      <w:r w:rsidR="000052E9">
        <w:rPr>
          <w:sz w:val="22"/>
          <w:szCs w:val="22"/>
        </w:rPr>
        <w:t>489,30</w:t>
      </w:r>
      <w:r w:rsidR="00B13F83">
        <w:rPr>
          <w:sz w:val="22"/>
          <w:szCs w:val="22"/>
        </w:rPr>
        <w:t xml:space="preserve"> Mio.</w:t>
      </w:r>
      <w:r w:rsidR="000052E9">
        <w:rPr>
          <w:sz w:val="22"/>
          <w:szCs w:val="22"/>
        </w:rPr>
        <w:t xml:space="preserve"> EUR (Vorjahr 481,81</w:t>
      </w:r>
      <w:r>
        <w:rPr>
          <w:sz w:val="22"/>
          <w:szCs w:val="22"/>
        </w:rPr>
        <w:t xml:space="preserve"> Mio. EUR)</w:t>
      </w:r>
      <w:r w:rsidRPr="009B2EE5">
        <w:rPr>
          <w:sz w:val="22"/>
          <w:szCs w:val="22"/>
        </w:rPr>
        <w:t>. Insg</w:t>
      </w:r>
      <w:r w:rsidRPr="009B2EE5">
        <w:rPr>
          <w:sz w:val="22"/>
          <w:szCs w:val="22"/>
        </w:rPr>
        <w:t>e</w:t>
      </w:r>
      <w:r w:rsidRPr="009B2EE5">
        <w:rPr>
          <w:sz w:val="22"/>
          <w:szCs w:val="22"/>
        </w:rPr>
        <w:t>samt wur</w:t>
      </w:r>
      <w:r w:rsidR="000052E9">
        <w:rPr>
          <w:sz w:val="22"/>
          <w:szCs w:val="22"/>
        </w:rPr>
        <w:t>den 2013</w:t>
      </w:r>
      <w:r w:rsidRPr="009B2EE5">
        <w:rPr>
          <w:sz w:val="22"/>
          <w:szCs w:val="22"/>
        </w:rPr>
        <w:t xml:space="preserve"> Darlehen in Höhe vo</w:t>
      </w:r>
      <w:r w:rsidR="00365934">
        <w:rPr>
          <w:sz w:val="22"/>
          <w:szCs w:val="22"/>
        </w:rPr>
        <w:t xml:space="preserve">n </w:t>
      </w:r>
      <w:r w:rsidR="000052E9">
        <w:rPr>
          <w:sz w:val="22"/>
          <w:szCs w:val="22"/>
        </w:rPr>
        <w:t>28,58</w:t>
      </w:r>
      <w:r w:rsidR="007103AF">
        <w:rPr>
          <w:sz w:val="22"/>
          <w:szCs w:val="22"/>
        </w:rPr>
        <w:t xml:space="preserve"> Mio. EUR (V</w:t>
      </w:r>
      <w:r w:rsidR="000052E9">
        <w:rPr>
          <w:sz w:val="22"/>
          <w:szCs w:val="22"/>
        </w:rPr>
        <w:t>orjahr 32,76</w:t>
      </w:r>
      <w:r w:rsidRPr="009B2EE5">
        <w:rPr>
          <w:sz w:val="22"/>
          <w:szCs w:val="22"/>
        </w:rPr>
        <w:t xml:space="preserve"> Mio. EUR) aufg</w:t>
      </w:r>
      <w:r w:rsidRPr="009B2EE5">
        <w:rPr>
          <w:sz w:val="22"/>
          <w:szCs w:val="22"/>
        </w:rPr>
        <w:t>e</w:t>
      </w:r>
      <w:r w:rsidR="00CE7B74">
        <w:rPr>
          <w:sz w:val="22"/>
          <w:szCs w:val="22"/>
        </w:rPr>
        <w:t>nommen und gleichzeitig</w:t>
      </w:r>
      <w:r w:rsidR="007103AF">
        <w:rPr>
          <w:sz w:val="22"/>
          <w:szCs w:val="22"/>
        </w:rPr>
        <w:t xml:space="preserve"> </w:t>
      </w:r>
      <w:r w:rsidR="00184B3B">
        <w:rPr>
          <w:sz w:val="22"/>
          <w:szCs w:val="22"/>
        </w:rPr>
        <w:t>20,25</w:t>
      </w:r>
      <w:r w:rsidRPr="009B2EE5">
        <w:rPr>
          <w:sz w:val="22"/>
          <w:szCs w:val="22"/>
        </w:rPr>
        <w:t xml:space="preserve"> Mio. EUR (Vor</w:t>
      </w:r>
      <w:r w:rsidR="00E66A5E">
        <w:rPr>
          <w:sz w:val="22"/>
          <w:szCs w:val="22"/>
        </w:rPr>
        <w:t>jahr 21,36</w:t>
      </w:r>
      <w:r w:rsidRPr="009B2EE5">
        <w:rPr>
          <w:sz w:val="22"/>
          <w:szCs w:val="22"/>
        </w:rPr>
        <w:t xml:space="preserve"> Mio. EUR)</w:t>
      </w:r>
      <w:r w:rsidR="00CE7B74">
        <w:rPr>
          <w:sz w:val="22"/>
          <w:szCs w:val="22"/>
        </w:rPr>
        <w:t>getilgt</w:t>
      </w:r>
      <w:r w:rsidRPr="009B2EE5">
        <w:rPr>
          <w:sz w:val="22"/>
          <w:szCs w:val="22"/>
        </w:rPr>
        <w:t>.</w:t>
      </w:r>
      <w:r w:rsidR="00617A67">
        <w:rPr>
          <w:sz w:val="22"/>
          <w:szCs w:val="22"/>
        </w:rPr>
        <w:t xml:space="preserve"> </w:t>
      </w:r>
      <w:r w:rsidR="00617A67" w:rsidRPr="009B2EE5">
        <w:rPr>
          <w:sz w:val="22"/>
          <w:szCs w:val="22"/>
        </w:rPr>
        <w:t>Das</w:t>
      </w:r>
      <w:r w:rsidR="00E66A5E">
        <w:rPr>
          <w:sz w:val="22"/>
          <w:szCs w:val="22"/>
        </w:rPr>
        <w:t xml:space="preserve"> </w:t>
      </w:r>
      <w:r w:rsidR="00617A67" w:rsidRPr="00617A67">
        <w:rPr>
          <w:sz w:val="22"/>
          <w:szCs w:val="22"/>
          <w:u w:val="dotted"/>
        </w:rPr>
        <w:t>Abzugskap</w:t>
      </w:r>
      <w:r w:rsidR="00617A67" w:rsidRPr="00617A67">
        <w:rPr>
          <w:sz w:val="22"/>
          <w:szCs w:val="22"/>
          <w:u w:val="dotted"/>
        </w:rPr>
        <w:t>i</w:t>
      </w:r>
      <w:r w:rsidR="00617A67" w:rsidRPr="00617A67">
        <w:rPr>
          <w:sz w:val="22"/>
          <w:szCs w:val="22"/>
          <w:u w:val="dotted"/>
        </w:rPr>
        <w:t>tal</w:t>
      </w:r>
      <w:r w:rsidR="00617A67">
        <w:rPr>
          <w:sz w:val="22"/>
          <w:szCs w:val="22"/>
        </w:rPr>
        <w:t xml:space="preserve"> </w:t>
      </w:r>
      <w:r w:rsidR="007103AF">
        <w:rPr>
          <w:sz w:val="22"/>
          <w:szCs w:val="22"/>
        </w:rPr>
        <w:t>ging weiter auf</w:t>
      </w:r>
      <w:r w:rsidR="00E66A5E">
        <w:rPr>
          <w:sz w:val="22"/>
          <w:szCs w:val="22"/>
        </w:rPr>
        <w:t xml:space="preserve"> 198,04 Mio. EUR zurück (Vorjahr 205,75</w:t>
      </w:r>
      <w:r w:rsidR="00617A67" w:rsidRPr="009B2EE5">
        <w:rPr>
          <w:sz w:val="22"/>
          <w:szCs w:val="22"/>
        </w:rPr>
        <w:t xml:space="preserve"> Mio. EUR). </w:t>
      </w:r>
      <w:r w:rsidR="00E66A5E">
        <w:rPr>
          <w:sz w:val="22"/>
          <w:szCs w:val="22"/>
        </w:rPr>
        <w:t>Dabei lag der Zugang der</w:t>
      </w:r>
      <w:r w:rsidR="00617A67" w:rsidRPr="009B2EE5">
        <w:rPr>
          <w:sz w:val="22"/>
          <w:szCs w:val="22"/>
        </w:rPr>
        <w:t xml:space="preserve"> Landes</w:t>
      </w:r>
      <w:r w:rsidR="00E66A5E">
        <w:rPr>
          <w:sz w:val="22"/>
          <w:szCs w:val="22"/>
        </w:rPr>
        <w:t>-</w:t>
      </w:r>
      <w:r w:rsidR="00617A67" w:rsidRPr="009B2EE5">
        <w:rPr>
          <w:sz w:val="22"/>
          <w:szCs w:val="22"/>
        </w:rPr>
        <w:t xml:space="preserve"> und empfangenen Er</w:t>
      </w:r>
      <w:r w:rsidR="00E66A5E">
        <w:rPr>
          <w:sz w:val="22"/>
          <w:szCs w:val="22"/>
        </w:rPr>
        <w:t>tragszuschüsse</w:t>
      </w:r>
      <w:r w:rsidR="00B54625">
        <w:rPr>
          <w:sz w:val="22"/>
          <w:szCs w:val="22"/>
        </w:rPr>
        <w:t xml:space="preserve"> </w:t>
      </w:r>
      <w:r w:rsidR="00E66A5E">
        <w:rPr>
          <w:sz w:val="22"/>
          <w:szCs w:val="22"/>
        </w:rPr>
        <w:t>bei 6,30</w:t>
      </w:r>
      <w:r w:rsidR="00184B3B">
        <w:rPr>
          <w:sz w:val="22"/>
          <w:szCs w:val="22"/>
        </w:rPr>
        <w:t xml:space="preserve"> Mio. EUR </w:t>
      </w:r>
      <w:r w:rsidR="00FB7E3A">
        <w:rPr>
          <w:sz w:val="22"/>
          <w:szCs w:val="22"/>
        </w:rPr>
        <w:t>(Vorjahr 6,04</w:t>
      </w:r>
      <w:r w:rsidR="00617A67" w:rsidRPr="009B2EE5">
        <w:rPr>
          <w:sz w:val="22"/>
          <w:szCs w:val="22"/>
        </w:rPr>
        <w:t xml:space="preserve"> Mio. EUR)</w:t>
      </w:r>
      <w:r w:rsidR="00DE18CE">
        <w:rPr>
          <w:sz w:val="22"/>
          <w:szCs w:val="22"/>
        </w:rPr>
        <w:t xml:space="preserve"> während</w:t>
      </w:r>
      <w:r w:rsidR="00617A67" w:rsidRPr="009B2EE5">
        <w:rPr>
          <w:sz w:val="22"/>
          <w:szCs w:val="22"/>
        </w:rPr>
        <w:t xml:space="preserve"> </w:t>
      </w:r>
      <w:r w:rsidR="00184B3B">
        <w:rPr>
          <w:sz w:val="22"/>
          <w:szCs w:val="22"/>
        </w:rPr>
        <w:t>13,98</w:t>
      </w:r>
      <w:r w:rsidR="00617A67" w:rsidRPr="009B2EE5">
        <w:rPr>
          <w:sz w:val="22"/>
          <w:szCs w:val="22"/>
        </w:rPr>
        <w:t xml:space="preserve"> Mio. EUR (Vor</w:t>
      </w:r>
      <w:r w:rsidR="00E66A5E">
        <w:rPr>
          <w:sz w:val="22"/>
          <w:szCs w:val="22"/>
        </w:rPr>
        <w:t>jahr 15,15</w:t>
      </w:r>
      <w:r w:rsidR="00617A67" w:rsidRPr="009B2EE5">
        <w:rPr>
          <w:sz w:val="22"/>
          <w:szCs w:val="22"/>
        </w:rPr>
        <w:t xml:space="preserve"> Mio. EUR) aufgelöst</w:t>
      </w:r>
      <w:r w:rsidR="00DE18CE">
        <w:rPr>
          <w:sz w:val="22"/>
          <w:szCs w:val="22"/>
        </w:rPr>
        <w:t xml:space="preserve"> wurden</w:t>
      </w:r>
      <w:r w:rsidR="00617A67" w:rsidRPr="009B2EE5">
        <w:rPr>
          <w:sz w:val="22"/>
          <w:szCs w:val="22"/>
        </w:rPr>
        <w:t>.</w:t>
      </w:r>
      <w:r w:rsidR="00617A67" w:rsidRPr="00617A67">
        <w:rPr>
          <w:sz w:val="22"/>
          <w:szCs w:val="22"/>
        </w:rPr>
        <w:t xml:space="preserve"> </w:t>
      </w:r>
      <w:r w:rsidR="00617A67" w:rsidRPr="009B2EE5">
        <w:rPr>
          <w:sz w:val="22"/>
          <w:szCs w:val="22"/>
        </w:rPr>
        <w:t xml:space="preserve">Die </w:t>
      </w:r>
      <w:r w:rsidR="00E66A5E">
        <w:rPr>
          <w:sz w:val="22"/>
          <w:szCs w:val="22"/>
          <w:u w:val="dotted"/>
        </w:rPr>
        <w:t>Allgemeine Rücklage</w:t>
      </w:r>
      <w:r w:rsidR="00617A67" w:rsidRPr="00FB7E3A">
        <w:rPr>
          <w:sz w:val="22"/>
          <w:szCs w:val="22"/>
        </w:rPr>
        <w:t xml:space="preserve"> </w:t>
      </w:r>
      <w:r w:rsidR="00FB7E3A">
        <w:rPr>
          <w:sz w:val="22"/>
          <w:szCs w:val="22"/>
        </w:rPr>
        <w:t xml:space="preserve">stieg </w:t>
      </w:r>
      <w:r w:rsidR="00FB4D55">
        <w:rPr>
          <w:sz w:val="22"/>
          <w:szCs w:val="22"/>
        </w:rPr>
        <w:t xml:space="preserve">um das Vorjahresergebnis </w:t>
      </w:r>
      <w:r w:rsidR="00617A67" w:rsidRPr="009B2EE5">
        <w:rPr>
          <w:sz w:val="22"/>
          <w:szCs w:val="22"/>
        </w:rPr>
        <w:t>a</w:t>
      </w:r>
      <w:r w:rsidR="00E66A5E">
        <w:rPr>
          <w:sz w:val="22"/>
          <w:szCs w:val="22"/>
        </w:rPr>
        <w:t>uf 48,13</w:t>
      </w:r>
      <w:r w:rsidR="007B7C88">
        <w:rPr>
          <w:sz w:val="22"/>
          <w:szCs w:val="22"/>
        </w:rPr>
        <w:t xml:space="preserve"> Mio. EUR</w:t>
      </w:r>
      <w:r w:rsidR="00E66A5E">
        <w:rPr>
          <w:sz w:val="22"/>
          <w:szCs w:val="22"/>
        </w:rPr>
        <w:t xml:space="preserve"> an (Vorjahr 41,89</w:t>
      </w:r>
      <w:r w:rsidR="00FB7E3A">
        <w:rPr>
          <w:sz w:val="22"/>
          <w:szCs w:val="22"/>
        </w:rPr>
        <w:t xml:space="preserve"> Mio. EUR)</w:t>
      </w:r>
      <w:r w:rsidR="00617A67" w:rsidRPr="009B2EE5">
        <w:rPr>
          <w:sz w:val="22"/>
          <w:szCs w:val="22"/>
        </w:rPr>
        <w:t>.</w:t>
      </w:r>
      <w:r w:rsidR="00617A67">
        <w:rPr>
          <w:sz w:val="22"/>
          <w:szCs w:val="22"/>
        </w:rPr>
        <w:t xml:space="preserve"> </w:t>
      </w:r>
      <w:r w:rsidR="00617A67" w:rsidRPr="009B2EE5">
        <w:rPr>
          <w:sz w:val="22"/>
          <w:szCs w:val="22"/>
        </w:rPr>
        <w:t>Der Jahres</w:t>
      </w:r>
      <w:r w:rsidR="00531347">
        <w:rPr>
          <w:sz w:val="22"/>
          <w:szCs w:val="22"/>
        </w:rPr>
        <w:t>ergebnis</w:t>
      </w:r>
      <w:r w:rsidR="00617A67" w:rsidRPr="009B2EE5">
        <w:rPr>
          <w:sz w:val="22"/>
          <w:szCs w:val="22"/>
        </w:rPr>
        <w:t xml:space="preserve"> </w:t>
      </w:r>
      <w:r w:rsidR="00E66A5E">
        <w:rPr>
          <w:sz w:val="22"/>
          <w:szCs w:val="22"/>
        </w:rPr>
        <w:t>2013</w:t>
      </w:r>
      <w:r w:rsidR="00617A67">
        <w:rPr>
          <w:sz w:val="22"/>
          <w:szCs w:val="22"/>
        </w:rPr>
        <w:t xml:space="preserve"> in Höhe </w:t>
      </w:r>
      <w:r w:rsidR="00617A67" w:rsidRPr="00D37B4F">
        <w:rPr>
          <w:sz w:val="22"/>
          <w:szCs w:val="22"/>
        </w:rPr>
        <w:t xml:space="preserve">von </w:t>
      </w:r>
      <w:r w:rsidR="00E66A5E" w:rsidRPr="00D37B4F">
        <w:rPr>
          <w:sz w:val="22"/>
          <w:szCs w:val="22"/>
        </w:rPr>
        <w:t>6,17</w:t>
      </w:r>
      <w:r w:rsidR="0016532A" w:rsidRPr="00D37B4F">
        <w:rPr>
          <w:sz w:val="22"/>
          <w:szCs w:val="22"/>
        </w:rPr>
        <w:t xml:space="preserve"> </w:t>
      </w:r>
      <w:r w:rsidR="00617A67" w:rsidRPr="00D37B4F">
        <w:rPr>
          <w:sz w:val="22"/>
          <w:szCs w:val="22"/>
        </w:rPr>
        <w:t>Mio. EUR</w:t>
      </w:r>
      <w:r w:rsidR="00617A67">
        <w:rPr>
          <w:sz w:val="22"/>
          <w:szCs w:val="22"/>
        </w:rPr>
        <w:t xml:space="preserve"> </w:t>
      </w:r>
      <w:r w:rsidR="00B85080">
        <w:rPr>
          <w:sz w:val="22"/>
          <w:szCs w:val="22"/>
        </w:rPr>
        <w:t>soll</w:t>
      </w:r>
      <w:r w:rsidR="00617A67" w:rsidRPr="009B2EE5">
        <w:rPr>
          <w:sz w:val="22"/>
          <w:szCs w:val="22"/>
        </w:rPr>
        <w:t xml:space="preserve"> nach Beschluss </w:t>
      </w:r>
      <w:r w:rsidR="00617A67">
        <w:rPr>
          <w:sz w:val="22"/>
          <w:szCs w:val="22"/>
        </w:rPr>
        <w:t xml:space="preserve">des Gemeinderats </w:t>
      </w:r>
      <w:r w:rsidR="0080604D">
        <w:rPr>
          <w:sz w:val="22"/>
          <w:szCs w:val="22"/>
        </w:rPr>
        <w:t xml:space="preserve">wieder </w:t>
      </w:r>
      <w:r w:rsidR="00617A67" w:rsidRPr="009B2EE5">
        <w:rPr>
          <w:sz w:val="22"/>
          <w:szCs w:val="22"/>
        </w:rPr>
        <w:t>in die Eigenkapitalrückla</w:t>
      </w:r>
      <w:r w:rsidR="00617A67">
        <w:rPr>
          <w:sz w:val="22"/>
          <w:szCs w:val="22"/>
        </w:rPr>
        <w:t>ge eingestellt</w:t>
      </w:r>
      <w:r w:rsidR="00B85080">
        <w:rPr>
          <w:sz w:val="22"/>
          <w:szCs w:val="22"/>
        </w:rPr>
        <w:t xml:space="preserve"> werden</w:t>
      </w:r>
      <w:r w:rsidR="00617A67">
        <w:rPr>
          <w:sz w:val="22"/>
          <w:szCs w:val="22"/>
        </w:rPr>
        <w:t xml:space="preserve">. </w:t>
      </w:r>
      <w:r w:rsidR="006815E6" w:rsidRPr="009B2EE5">
        <w:rPr>
          <w:sz w:val="22"/>
          <w:szCs w:val="22"/>
        </w:rPr>
        <w:t xml:space="preserve">Die </w:t>
      </w:r>
      <w:r w:rsidR="00617A67">
        <w:rPr>
          <w:sz w:val="22"/>
          <w:szCs w:val="22"/>
        </w:rPr>
        <w:t xml:space="preserve">betrieblichen </w:t>
      </w:r>
      <w:r w:rsidR="006815E6" w:rsidRPr="009B2EE5">
        <w:rPr>
          <w:sz w:val="22"/>
          <w:szCs w:val="22"/>
        </w:rPr>
        <w:t xml:space="preserve">Rückstellungen </w:t>
      </w:r>
      <w:r w:rsidR="006E6B4D">
        <w:rPr>
          <w:sz w:val="22"/>
          <w:szCs w:val="22"/>
        </w:rPr>
        <w:t>r</w:t>
      </w:r>
      <w:r w:rsidR="006E6B4D">
        <w:rPr>
          <w:sz w:val="22"/>
          <w:szCs w:val="22"/>
        </w:rPr>
        <w:t>e</w:t>
      </w:r>
      <w:r w:rsidR="006E6B4D">
        <w:rPr>
          <w:sz w:val="22"/>
          <w:szCs w:val="22"/>
        </w:rPr>
        <w:t xml:space="preserve">duzieren sich </w:t>
      </w:r>
      <w:r w:rsidR="00617A67" w:rsidRPr="007D3714">
        <w:rPr>
          <w:sz w:val="22"/>
          <w:szCs w:val="22"/>
        </w:rPr>
        <w:t xml:space="preserve">auf </w:t>
      </w:r>
      <w:r w:rsidR="00E66A5E" w:rsidRPr="007D3714">
        <w:rPr>
          <w:sz w:val="22"/>
          <w:szCs w:val="22"/>
        </w:rPr>
        <w:t>10,16</w:t>
      </w:r>
      <w:r w:rsidR="006815E6" w:rsidRPr="007D3714">
        <w:rPr>
          <w:sz w:val="22"/>
          <w:szCs w:val="22"/>
        </w:rPr>
        <w:t xml:space="preserve"> EU</w:t>
      </w:r>
      <w:r w:rsidR="004B73A7">
        <w:rPr>
          <w:sz w:val="22"/>
          <w:szCs w:val="22"/>
        </w:rPr>
        <w:t xml:space="preserve">R </w:t>
      </w:r>
      <w:r w:rsidR="004B73A7" w:rsidRPr="007D3714">
        <w:rPr>
          <w:sz w:val="22"/>
          <w:szCs w:val="22"/>
        </w:rPr>
        <w:t>(Vorjahr 13,15 Mio. EUR)</w:t>
      </w:r>
      <w:r w:rsidR="004B73A7">
        <w:rPr>
          <w:sz w:val="22"/>
          <w:szCs w:val="22"/>
        </w:rPr>
        <w:t>. Dies lag in erster Linie an der einka</w:t>
      </w:r>
      <w:r w:rsidR="004B73A7">
        <w:rPr>
          <w:sz w:val="22"/>
          <w:szCs w:val="22"/>
        </w:rPr>
        <w:t>l</w:t>
      </w:r>
      <w:r w:rsidR="004B73A7">
        <w:rPr>
          <w:sz w:val="22"/>
          <w:szCs w:val="22"/>
        </w:rPr>
        <w:t xml:space="preserve">kulierten </w:t>
      </w:r>
      <w:r w:rsidR="00184B3B">
        <w:rPr>
          <w:sz w:val="22"/>
          <w:szCs w:val="22"/>
        </w:rPr>
        <w:t>Verwendung</w:t>
      </w:r>
      <w:r w:rsidR="004B73A7">
        <w:rPr>
          <w:sz w:val="22"/>
          <w:szCs w:val="22"/>
        </w:rPr>
        <w:t xml:space="preserve"> der Gebührenausgleichsrückstellungen</w:t>
      </w:r>
      <w:r w:rsidR="00617A67" w:rsidRPr="007D3714">
        <w:rPr>
          <w:sz w:val="22"/>
          <w:szCs w:val="22"/>
        </w:rPr>
        <w:t>.</w:t>
      </w:r>
    </w:p>
    <w:p w:rsidR="00CE65A6" w:rsidRDefault="00CE65A6" w:rsidP="007103AF">
      <w:pPr>
        <w:shd w:val="clear" w:color="auto" w:fill="FFFFFF" w:themeFill="background1"/>
        <w:jc w:val="both"/>
        <w:rPr>
          <w:sz w:val="22"/>
          <w:szCs w:val="22"/>
        </w:rPr>
      </w:pPr>
    </w:p>
    <w:p w:rsidR="001C12E6" w:rsidRDefault="001C12E6" w:rsidP="005A3712">
      <w:pPr>
        <w:pStyle w:val="Textkrper"/>
        <w:rPr>
          <w:b w:val="0"/>
          <w:sz w:val="22"/>
          <w:szCs w:val="22"/>
          <w:highlight w:val="yellow"/>
        </w:rPr>
      </w:pPr>
    </w:p>
    <w:p w:rsidR="00D34B7E" w:rsidRPr="00565FD7" w:rsidRDefault="00BC5A3B" w:rsidP="00565FD7">
      <w:pPr>
        <w:pStyle w:val="berschrift5"/>
        <w:rPr>
          <w:caps/>
        </w:rPr>
      </w:pPr>
      <w:r w:rsidRPr="005107E0">
        <w:rPr>
          <w:caps/>
        </w:rPr>
        <w:t>Sonstige Wichtige Vorgänge des Wirtschaftsjahres</w:t>
      </w:r>
    </w:p>
    <w:p w:rsidR="00757B0B" w:rsidRPr="00757B0B" w:rsidRDefault="00B7267D" w:rsidP="00757B0B">
      <w:pPr>
        <w:pStyle w:val="Listenabsatz"/>
        <w:numPr>
          <w:ilvl w:val="0"/>
          <w:numId w:val="17"/>
        </w:numPr>
        <w:spacing w:after="60"/>
        <w:ind w:left="714" w:hanging="357"/>
        <w:contextualSpacing w:val="0"/>
        <w:jc w:val="both"/>
        <w:rPr>
          <w:sz w:val="22"/>
          <w:szCs w:val="22"/>
        </w:rPr>
      </w:pPr>
      <w:r w:rsidRPr="00757B0B">
        <w:rPr>
          <w:sz w:val="22"/>
          <w:szCs w:val="22"/>
        </w:rPr>
        <w:t xml:space="preserve">Im April 2013 wurde beim Tiefbauamt/SES eine Mitarbeiterbefragung durchgeführt. Dank der hohen Rücklaufquote von über 60% konnten aussagekräftige Ergebnisse über das Tiefbauamt/SES als Arbeitgeber gewonnen werden. </w:t>
      </w:r>
      <w:r w:rsidR="00757B0B" w:rsidRPr="00757B0B">
        <w:rPr>
          <w:sz w:val="22"/>
          <w:szCs w:val="22"/>
        </w:rPr>
        <w:t>Aus den Antworten konnten</w:t>
      </w:r>
      <w:r w:rsidRPr="00757B0B">
        <w:rPr>
          <w:sz w:val="22"/>
          <w:szCs w:val="22"/>
        </w:rPr>
        <w:t xml:space="preserve"> in 2013 konkrete Maßnahmenpläne zu den Themen „Mitarbeiterbindung“ und „Mitarbeitergewinnung</w:t>
      </w:r>
      <w:r w:rsidR="00757B0B" w:rsidRPr="00757B0B">
        <w:rPr>
          <w:sz w:val="22"/>
          <w:szCs w:val="22"/>
        </w:rPr>
        <w:t xml:space="preserve">“ ausgearbeitet werden. </w:t>
      </w:r>
      <w:r w:rsidR="00757B0B" w:rsidRPr="00757B0B">
        <w:rPr>
          <w:bCs/>
          <w:sz w:val="22"/>
          <w:szCs w:val="22"/>
        </w:rPr>
        <w:t>Dabei stehen die Themenbereiche Führung und Wertschätzung, Information und Kommunikation, Tätigkeit und Fort- und Weiterbildung im Mittelpunkt der weiteren Umsetzung.</w:t>
      </w:r>
      <w:r w:rsidR="00757B0B" w:rsidRPr="00757B0B">
        <w:rPr>
          <w:sz w:val="22"/>
          <w:szCs w:val="22"/>
        </w:rPr>
        <w:t xml:space="preserve"> Über die Ergebnisse werden alle Mitarbeiterinnen und Mitarbeiter regelmäßig informiert.</w:t>
      </w:r>
    </w:p>
    <w:p w:rsidR="00171E60" w:rsidRPr="00757B0B" w:rsidRDefault="00E2041B" w:rsidP="00757B0B">
      <w:pPr>
        <w:pStyle w:val="Listenabsatz"/>
        <w:numPr>
          <w:ilvl w:val="0"/>
          <w:numId w:val="17"/>
        </w:numPr>
        <w:spacing w:after="60"/>
        <w:ind w:left="714" w:hanging="357"/>
        <w:contextualSpacing w:val="0"/>
        <w:jc w:val="both"/>
        <w:rPr>
          <w:sz w:val="22"/>
        </w:rPr>
      </w:pPr>
      <w:r w:rsidRPr="00757B0B">
        <w:rPr>
          <w:sz w:val="22"/>
        </w:rPr>
        <w:t>Am 27. Juni 2013 wurde das Projekt „Sanierung der mechanischen und biologischen Stufe“ im Gruppenklärwerk Ditzingen offiziell mit einem Spatenstich und großem Pu</w:t>
      </w:r>
      <w:r w:rsidRPr="00757B0B">
        <w:rPr>
          <w:sz w:val="22"/>
        </w:rPr>
        <w:t>b</w:t>
      </w:r>
      <w:r w:rsidRPr="00757B0B">
        <w:rPr>
          <w:sz w:val="22"/>
        </w:rPr>
        <w:t>likum gestartet.</w:t>
      </w:r>
    </w:p>
    <w:p w:rsidR="00B7267D" w:rsidRDefault="00383A8B" w:rsidP="00B7267D">
      <w:pPr>
        <w:pStyle w:val="Textkrper"/>
        <w:numPr>
          <w:ilvl w:val="0"/>
          <w:numId w:val="17"/>
        </w:numPr>
        <w:rPr>
          <w:b w:val="0"/>
          <w:sz w:val="22"/>
        </w:rPr>
      </w:pPr>
      <w:r>
        <w:rPr>
          <w:b w:val="0"/>
          <w:sz w:val="22"/>
        </w:rPr>
        <w:t>Im Rahmen der Haushaltsberatungen</w:t>
      </w:r>
      <w:r w:rsidR="00757B0B">
        <w:rPr>
          <w:b w:val="0"/>
          <w:sz w:val="22"/>
        </w:rPr>
        <w:t xml:space="preserve"> wurde auch der </w:t>
      </w:r>
      <w:r w:rsidR="007172DF">
        <w:rPr>
          <w:b w:val="0"/>
          <w:sz w:val="22"/>
        </w:rPr>
        <w:t>Doppelwirtschaftsplan der SES 2014/2015 am 19. Dezember 2013 im Gemeinderat der Landeshauptstadt Stuttgart beschlossen.</w:t>
      </w:r>
    </w:p>
    <w:p w:rsidR="00AB2CD2" w:rsidRDefault="00AB2CD2" w:rsidP="00AB2CD2">
      <w:pPr>
        <w:pStyle w:val="Textkrper"/>
        <w:rPr>
          <w:b w:val="0"/>
          <w:sz w:val="22"/>
        </w:rPr>
      </w:pPr>
    </w:p>
    <w:p w:rsidR="00AB2CD2" w:rsidRDefault="00AB2CD2" w:rsidP="00AB2CD2">
      <w:pPr>
        <w:pStyle w:val="Textkrper"/>
        <w:rPr>
          <w:b w:val="0"/>
          <w:sz w:val="22"/>
        </w:rPr>
      </w:pPr>
    </w:p>
    <w:p w:rsidR="001C16FC" w:rsidRPr="005107E0" w:rsidRDefault="001C16FC" w:rsidP="001C16FC">
      <w:pPr>
        <w:rPr>
          <w:b/>
          <w:caps/>
          <w:sz w:val="22"/>
          <w:szCs w:val="22"/>
        </w:rPr>
      </w:pPr>
      <w:r w:rsidRPr="005107E0">
        <w:rPr>
          <w:b/>
          <w:caps/>
          <w:sz w:val="22"/>
          <w:szCs w:val="22"/>
        </w:rPr>
        <w:t>NACHTRAGSBERICHT</w:t>
      </w:r>
    </w:p>
    <w:p w:rsidR="0024723A" w:rsidRPr="00171E60" w:rsidRDefault="001C16FC" w:rsidP="0024723A">
      <w:pPr>
        <w:jc w:val="both"/>
        <w:rPr>
          <w:sz w:val="22"/>
          <w:szCs w:val="22"/>
        </w:rPr>
      </w:pPr>
      <w:r w:rsidRPr="00171E60">
        <w:rPr>
          <w:sz w:val="22"/>
          <w:szCs w:val="22"/>
        </w:rPr>
        <w:t xml:space="preserve">In der Zeit nach dem </w:t>
      </w:r>
      <w:r w:rsidR="004A2A57">
        <w:rPr>
          <w:sz w:val="22"/>
          <w:szCs w:val="22"/>
        </w:rPr>
        <w:t>Bilanzstichtag (Stand 31.12.2013</w:t>
      </w:r>
      <w:r w:rsidRPr="00171E60">
        <w:rPr>
          <w:sz w:val="22"/>
          <w:szCs w:val="22"/>
        </w:rPr>
        <w:t>) sind folgende wesentliche Ereignisse zu verzeichnen:</w:t>
      </w:r>
    </w:p>
    <w:p w:rsidR="00733C2F" w:rsidRPr="00733C2F" w:rsidRDefault="001C16FC" w:rsidP="00733C2F">
      <w:pPr>
        <w:numPr>
          <w:ilvl w:val="0"/>
          <w:numId w:val="4"/>
        </w:numPr>
        <w:spacing w:after="60"/>
        <w:ind w:left="357" w:hanging="357"/>
        <w:jc w:val="both"/>
        <w:rPr>
          <w:sz w:val="22"/>
          <w:szCs w:val="22"/>
        </w:rPr>
      </w:pPr>
      <w:r w:rsidRPr="00733C2F">
        <w:rPr>
          <w:sz w:val="22"/>
          <w:szCs w:val="22"/>
        </w:rPr>
        <w:t>Seit</w:t>
      </w:r>
      <w:r w:rsidR="004A2A57" w:rsidRPr="00733C2F">
        <w:rPr>
          <w:sz w:val="22"/>
          <w:szCs w:val="22"/>
        </w:rPr>
        <w:t xml:space="preserve"> Januar 2014</w:t>
      </w:r>
      <w:r w:rsidRPr="00733C2F">
        <w:rPr>
          <w:sz w:val="22"/>
          <w:szCs w:val="22"/>
        </w:rPr>
        <w:t xml:space="preserve"> beträgt die Höhe des Schmutzwasserentgelts 1</w:t>
      </w:r>
      <w:r w:rsidR="0090067B" w:rsidRPr="00733C2F">
        <w:rPr>
          <w:sz w:val="22"/>
          <w:szCs w:val="22"/>
        </w:rPr>
        <w:t>,6</w:t>
      </w:r>
      <w:r w:rsidR="004A2A57" w:rsidRPr="00733C2F">
        <w:rPr>
          <w:sz w:val="22"/>
          <w:szCs w:val="22"/>
        </w:rPr>
        <w:t>4</w:t>
      </w:r>
      <w:r w:rsidR="0024723A" w:rsidRPr="00733C2F">
        <w:rPr>
          <w:sz w:val="22"/>
        </w:rPr>
        <w:t xml:space="preserve"> EUR/m³</w:t>
      </w:r>
      <w:r w:rsidR="004A2A57" w:rsidRPr="00733C2F">
        <w:rPr>
          <w:sz w:val="22"/>
        </w:rPr>
        <w:t xml:space="preserve"> (Vorjahr </w:t>
      </w:r>
      <w:r w:rsidR="004A2A57" w:rsidRPr="00733C2F">
        <w:rPr>
          <w:sz w:val="22"/>
          <w:szCs w:val="22"/>
        </w:rPr>
        <w:t>1,62</w:t>
      </w:r>
      <w:r w:rsidR="004A2A57" w:rsidRPr="00733C2F">
        <w:rPr>
          <w:sz w:val="22"/>
        </w:rPr>
        <w:t xml:space="preserve"> EUR/m³</w:t>
      </w:r>
      <w:r w:rsidR="00733C2F" w:rsidRPr="00733C2F">
        <w:rPr>
          <w:sz w:val="22"/>
        </w:rPr>
        <w:t>)</w:t>
      </w:r>
      <w:r w:rsidR="0024723A" w:rsidRPr="00733C2F">
        <w:rPr>
          <w:sz w:val="22"/>
        </w:rPr>
        <w:t xml:space="preserve">. Die </w:t>
      </w:r>
      <w:r w:rsidRPr="00733C2F">
        <w:rPr>
          <w:sz w:val="22"/>
        </w:rPr>
        <w:t xml:space="preserve">Niederschlagswassergebühr </w:t>
      </w:r>
      <w:r w:rsidR="00BB2D39">
        <w:rPr>
          <w:sz w:val="22"/>
        </w:rPr>
        <w:t>wurde zum 1. Januar 2014</w:t>
      </w:r>
      <w:r w:rsidR="00733C2F" w:rsidRPr="00733C2F">
        <w:rPr>
          <w:sz w:val="22"/>
        </w:rPr>
        <w:t xml:space="preserve"> auf 0,66</w:t>
      </w:r>
      <w:r w:rsidRPr="00733C2F">
        <w:rPr>
          <w:sz w:val="22"/>
        </w:rPr>
        <w:t xml:space="preserve"> EUR/m²</w:t>
      </w:r>
      <w:r w:rsidR="00733C2F" w:rsidRPr="00733C2F">
        <w:rPr>
          <w:sz w:val="22"/>
        </w:rPr>
        <w:t xml:space="preserve"> (Vorjahr</w:t>
      </w:r>
      <w:r w:rsidR="0090067B" w:rsidRPr="00733C2F">
        <w:rPr>
          <w:sz w:val="22"/>
        </w:rPr>
        <w:t xml:space="preserve"> </w:t>
      </w:r>
      <w:r w:rsidR="00733C2F" w:rsidRPr="00733C2F">
        <w:rPr>
          <w:sz w:val="22"/>
        </w:rPr>
        <w:t>0,61 EUR/m²</w:t>
      </w:r>
      <w:r w:rsidR="00733C2F">
        <w:rPr>
          <w:sz w:val="22"/>
        </w:rPr>
        <w:t>)</w:t>
      </w:r>
      <w:r w:rsidR="00733C2F" w:rsidRPr="00733C2F">
        <w:rPr>
          <w:sz w:val="22"/>
        </w:rPr>
        <w:t xml:space="preserve"> </w:t>
      </w:r>
      <w:r w:rsidR="00733C2F">
        <w:rPr>
          <w:sz w:val="22"/>
        </w:rPr>
        <w:t>angehoben (</w:t>
      </w:r>
      <w:proofErr w:type="spellStart"/>
      <w:r w:rsidR="00733C2F">
        <w:rPr>
          <w:sz w:val="22"/>
        </w:rPr>
        <w:t>GRDrs</w:t>
      </w:r>
      <w:proofErr w:type="spellEnd"/>
      <w:r w:rsidR="00733C2F">
        <w:rPr>
          <w:sz w:val="22"/>
        </w:rPr>
        <w:t xml:space="preserve"> 1034/2013</w:t>
      </w:r>
      <w:r w:rsidR="0090067B" w:rsidRPr="00733C2F">
        <w:rPr>
          <w:sz w:val="22"/>
        </w:rPr>
        <w:t>)</w:t>
      </w:r>
      <w:r w:rsidRPr="0090067B">
        <w:t>.</w:t>
      </w:r>
      <w:r w:rsidR="00733C2F">
        <w:t xml:space="preserve"> </w:t>
      </w:r>
    </w:p>
    <w:p w:rsidR="00F662F1" w:rsidRPr="00F662F1" w:rsidRDefault="00733C2F" w:rsidP="00F662F1">
      <w:pPr>
        <w:numPr>
          <w:ilvl w:val="0"/>
          <w:numId w:val="4"/>
        </w:numPr>
        <w:shd w:val="clear" w:color="auto" w:fill="FFFFFF" w:themeFill="background1"/>
        <w:spacing w:after="60"/>
        <w:ind w:left="391" w:hanging="357"/>
        <w:jc w:val="both"/>
        <w:rPr>
          <w:bCs/>
          <w:sz w:val="22"/>
          <w:szCs w:val="22"/>
        </w:rPr>
      </w:pPr>
      <w:r w:rsidRPr="00F662F1">
        <w:rPr>
          <w:sz w:val="22"/>
          <w:szCs w:val="22"/>
        </w:rPr>
        <w:lastRenderedPageBreak/>
        <w:t>Am 25. Februar 2014</w:t>
      </w:r>
      <w:r w:rsidR="0024723A" w:rsidRPr="00F662F1">
        <w:rPr>
          <w:sz w:val="22"/>
          <w:szCs w:val="22"/>
        </w:rPr>
        <w:t xml:space="preserve"> wurde der Betriebsausschuss Stadtentwässerung mit einer Mitte</w:t>
      </w:r>
      <w:r w:rsidR="0024723A" w:rsidRPr="00F662F1">
        <w:rPr>
          <w:sz w:val="22"/>
          <w:szCs w:val="22"/>
        </w:rPr>
        <w:t>i</w:t>
      </w:r>
      <w:r w:rsidR="0024723A" w:rsidRPr="00F662F1">
        <w:rPr>
          <w:sz w:val="22"/>
          <w:szCs w:val="22"/>
        </w:rPr>
        <w:t>lungsvor</w:t>
      </w:r>
      <w:r w:rsidRPr="00F662F1">
        <w:rPr>
          <w:sz w:val="22"/>
          <w:szCs w:val="22"/>
        </w:rPr>
        <w:t>lage (</w:t>
      </w:r>
      <w:proofErr w:type="spellStart"/>
      <w:r w:rsidRPr="00F662F1">
        <w:rPr>
          <w:sz w:val="22"/>
          <w:szCs w:val="22"/>
        </w:rPr>
        <w:t>GRDrs</w:t>
      </w:r>
      <w:proofErr w:type="spellEnd"/>
      <w:r w:rsidRPr="00F662F1">
        <w:rPr>
          <w:sz w:val="22"/>
          <w:szCs w:val="22"/>
        </w:rPr>
        <w:t xml:space="preserve"> 96/2014</w:t>
      </w:r>
      <w:r w:rsidR="0024723A" w:rsidRPr="00F662F1">
        <w:rPr>
          <w:sz w:val="22"/>
          <w:szCs w:val="22"/>
        </w:rPr>
        <w:t>) über die Beantwortung der Prüfungsfeststellungen des Rechnungsprüfungsamtes zum Jah</w:t>
      </w:r>
      <w:r w:rsidRPr="00F662F1">
        <w:rPr>
          <w:sz w:val="22"/>
          <w:szCs w:val="22"/>
        </w:rPr>
        <w:t>resabschluss 2012</w:t>
      </w:r>
      <w:r w:rsidR="0024723A" w:rsidRPr="00F662F1">
        <w:rPr>
          <w:sz w:val="22"/>
          <w:szCs w:val="22"/>
        </w:rPr>
        <w:t xml:space="preserve"> informiert.</w:t>
      </w:r>
    </w:p>
    <w:p w:rsidR="00733C2F" w:rsidRPr="00DB3D39" w:rsidRDefault="00F662F1" w:rsidP="00F662F1">
      <w:pPr>
        <w:numPr>
          <w:ilvl w:val="0"/>
          <w:numId w:val="4"/>
        </w:numPr>
        <w:shd w:val="clear" w:color="auto" w:fill="FFFFFF" w:themeFill="background1"/>
        <w:spacing w:after="60"/>
        <w:ind w:left="391" w:hanging="357"/>
        <w:jc w:val="both"/>
        <w:rPr>
          <w:sz w:val="22"/>
          <w:szCs w:val="22"/>
        </w:rPr>
      </w:pPr>
      <w:r w:rsidRPr="00F662F1">
        <w:rPr>
          <w:sz w:val="22"/>
          <w:szCs w:val="22"/>
        </w:rPr>
        <w:t xml:space="preserve">Im Mai 2014 wurde der Bericht zum ersten Quartal 2014 erstellt. </w:t>
      </w:r>
      <w:r w:rsidR="00056D2F">
        <w:rPr>
          <w:sz w:val="22"/>
          <w:szCs w:val="22"/>
        </w:rPr>
        <w:t>D</w:t>
      </w:r>
      <w:r w:rsidRPr="00F662F1">
        <w:rPr>
          <w:sz w:val="22"/>
          <w:szCs w:val="22"/>
        </w:rPr>
        <w:t>as eingeplante Ja</w:t>
      </w:r>
      <w:r w:rsidRPr="00F662F1">
        <w:rPr>
          <w:sz w:val="22"/>
          <w:szCs w:val="22"/>
        </w:rPr>
        <w:t>h</w:t>
      </w:r>
      <w:r w:rsidRPr="00F662F1">
        <w:rPr>
          <w:sz w:val="22"/>
          <w:szCs w:val="22"/>
        </w:rPr>
        <w:t xml:space="preserve">resergebnis im Erfolgsplan in Höhe von 2,20 Mio. EUR </w:t>
      </w:r>
      <w:r w:rsidR="00DB3D39">
        <w:rPr>
          <w:sz w:val="22"/>
          <w:szCs w:val="22"/>
        </w:rPr>
        <w:t>wird aus derzeitiger S</w:t>
      </w:r>
      <w:r w:rsidR="00056D2F">
        <w:rPr>
          <w:sz w:val="22"/>
          <w:szCs w:val="22"/>
        </w:rPr>
        <w:t xml:space="preserve">icht </w:t>
      </w:r>
      <w:r w:rsidRPr="00F662F1">
        <w:rPr>
          <w:sz w:val="22"/>
          <w:szCs w:val="22"/>
        </w:rPr>
        <w:t>erreicht werden</w:t>
      </w:r>
      <w:r w:rsidR="00056D2F">
        <w:rPr>
          <w:sz w:val="22"/>
          <w:szCs w:val="22"/>
        </w:rPr>
        <w:t xml:space="preserve"> können</w:t>
      </w:r>
      <w:r w:rsidRPr="00F662F1">
        <w:rPr>
          <w:sz w:val="22"/>
          <w:szCs w:val="22"/>
        </w:rPr>
        <w:t>. I</w:t>
      </w:r>
      <w:r w:rsidRPr="00F662F1">
        <w:rPr>
          <w:bCs/>
          <w:sz w:val="22"/>
          <w:szCs w:val="22"/>
        </w:rPr>
        <w:t>m Vermögensplan 2014</w:t>
      </w:r>
      <w:r>
        <w:rPr>
          <w:b/>
          <w:bCs/>
          <w:sz w:val="22"/>
          <w:szCs w:val="22"/>
        </w:rPr>
        <w:t xml:space="preserve"> </w:t>
      </w:r>
      <w:r w:rsidRPr="00F662F1">
        <w:rPr>
          <w:bCs/>
          <w:sz w:val="22"/>
          <w:szCs w:val="22"/>
        </w:rPr>
        <w:t xml:space="preserve">ist mit einer </w:t>
      </w:r>
      <w:r w:rsidR="00DA1C58">
        <w:rPr>
          <w:bCs/>
          <w:sz w:val="22"/>
          <w:szCs w:val="22"/>
        </w:rPr>
        <w:t xml:space="preserve">positiven </w:t>
      </w:r>
      <w:proofErr w:type="spellStart"/>
      <w:r w:rsidRPr="00F662F1">
        <w:rPr>
          <w:bCs/>
          <w:sz w:val="22"/>
          <w:szCs w:val="22"/>
        </w:rPr>
        <w:t>Einnahmenüberdeckung</w:t>
      </w:r>
      <w:proofErr w:type="spellEnd"/>
      <w:r w:rsidRPr="00F662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die Ausgabenfinanzierung </w:t>
      </w:r>
      <w:r w:rsidRPr="00F662F1">
        <w:rPr>
          <w:bCs/>
          <w:sz w:val="22"/>
          <w:szCs w:val="22"/>
        </w:rPr>
        <w:t>gewährleistet.</w:t>
      </w:r>
      <w:r w:rsidR="00F45CCA">
        <w:rPr>
          <w:bCs/>
          <w:sz w:val="22"/>
          <w:szCs w:val="22"/>
        </w:rPr>
        <w:t xml:space="preserve"> Zur Finanzierung der Investitionen sind Kredi</w:t>
      </w:r>
      <w:r w:rsidR="00F45CCA">
        <w:rPr>
          <w:bCs/>
          <w:sz w:val="22"/>
          <w:szCs w:val="22"/>
        </w:rPr>
        <w:t>t</w:t>
      </w:r>
      <w:r w:rsidR="00F45CCA">
        <w:rPr>
          <w:bCs/>
          <w:sz w:val="22"/>
          <w:szCs w:val="22"/>
        </w:rPr>
        <w:t>aufnahmen in 2014 in Höhe von 33,90 Mio. EUR vorgesehen.</w:t>
      </w:r>
    </w:p>
    <w:p w:rsidR="00DB3D39" w:rsidRPr="00DB3D39" w:rsidRDefault="00DB3D39" w:rsidP="00F662F1">
      <w:pPr>
        <w:numPr>
          <w:ilvl w:val="0"/>
          <w:numId w:val="4"/>
        </w:numPr>
        <w:shd w:val="clear" w:color="auto" w:fill="FFFFFF" w:themeFill="background1"/>
        <w:spacing w:after="60"/>
        <w:ind w:left="391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Die örtliche Prüfung 2013 durch das Rechnungsprüfungsamt laufen bereits.</w:t>
      </w:r>
    </w:p>
    <w:p w:rsidR="00DB3D39" w:rsidRPr="00F662F1" w:rsidRDefault="00DB3D39" w:rsidP="00F662F1">
      <w:pPr>
        <w:numPr>
          <w:ilvl w:val="0"/>
          <w:numId w:val="4"/>
        </w:numPr>
        <w:shd w:val="clear" w:color="auto" w:fill="FFFFFF" w:themeFill="background1"/>
        <w:spacing w:after="60"/>
        <w:ind w:left="391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Ab Mitte Mai 2014 führt die Gemeindeprüfungsanstalt BW eine überörtliche Prüfung der Bauausgaben bei der Landeshauptstadt Stuttgart durch.</w:t>
      </w:r>
    </w:p>
    <w:p w:rsidR="00B675E8" w:rsidRDefault="00B675E8" w:rsidP="00B675E8">
      <w:pPr>
        <w:jc w:val="both"/>
        <w:rPr>
          <w:sz w:val="22"/>
          <w:szCs w:val="22"/>
        </w:rPr>
      </w:pPr>
    </w:p>
    <w:p w:rsidR="00376103" w:rsidRDefault="00376103" w:rsidP="00B675E8">
      <w:pPr>
        <w:jc w:val="both"/>
        <w:rPr>
          <w:sz w:val="22"/>
          <w:szCs w:val="22"/>
        </w:rPr>
      </w:pPr>
    </w:p>
    <w:p w:rsidR="00376103" w:rsidRPr="007C34BF" w:rsidRDefault="00376103" w:rsidP="00376103">
      <w:pPr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Status der Rechtssicherheit</w:t>
      </w:r>
    </w:p>
    <w:p w:rsidR="00376103" w:rsidRDefault="00F82EF5" w:rsidP="00B67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SES </w:t>
      </w:r>
      <w:r w:rsidR="00383A8B">
        <w:rPr>
          <w:sz w:val="22"/>
          <w:szCs w:val="22"/>
        </w:rPr>
        <w:t>ist</w:t>
      </w:r>
      <w:r>
        <w:rPr>
          <w:sz w:val="22"/>
          <w:szCs w:val="22"/>
        </w:rPr>
        <w:t xml:space="preserve"> eine </w:t>
      </w:r>
      <w:r w:rsidR="00383A8B">
        <w:rPr>
          <w:sz w:val="22"/>
          <w:szCs w:val="22"/>
        </w:rPr>
        <w:t xml:space="preserve">rechtssichere </w:t>
      </w:r>
      <w:r>
        <w:rPr>
          <w:sz w:val="22"/>
          <w:szCs w:val="22"/>
        </w:rPr>
        <w:t>Organisation</w:t>
      </w:r>
      <w:r w:rsidR="002E08AB">
        <w:rPr>
          <w:sz w:val="22"/>
          <w:szCs w:val="22"/>
        </w:rPr>
        <w:t xml:space="preserve">, </w:t>
      </w:r>
      <w:r w:rsidR="00383A8B">
        <w:rPr>
          <w:sz w:val="22"/>
          <w:szCs w:val="22"/>
        </w:rPr>
        <w:t>die Compliance-Themen beachtet</w:t>
      </w:r>
      <w:r>
        <w:rPr>
          <w:sz w:val="22"/>
          <w:szCs w:val="22"/>
        </w:rPr>
        <w:t xml:space="preserve">. Die von der SES zu erfüllenden Rechtsanforderungen werden in allen Bereichen umgesetzt. Dies ist das Ergebnis eines im November </w:t>
      </w:r>
      <w:r w:rsidR="006E410A">
        <w:rPr>
          <w:sz w:val="22"/>
          <w:szCs w:val="22"/>
        </w:rPr>
        <w:t xml:space="preserve">2013 </w:t>
      </w:r>
      <w:r>
        <w:rPr>
          <w:sz w:val="22"/>
          <w:szCs w:val="22"/>
        </w:rPr>
        <w:t>durchgeführten Workshops mit der Unternehmensber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tung </w:t>
      </w:r>
      <w:proofErr w:type="spellStart"/>
      <w:r>
        <w:rPr>
          <w:sz w:val="22"/>
          <w:szCs w:val="22"/>
        </w:rPr>
        <w:t>confideon</w:t>
      </w:r>
      <w:proofErr w:type="spellEnd"/>
      <w:r>
        <w:rPr>
          <w:sz w:val="22"/>
          <w:szCs w:val="22"/>
        </w:rPr>
        <w:t xml:space="preserve"> und dem Anwaltsbüro SWKH.</w:t>
      </w:r>
    </w:p>
    <w:p w:rsidR="00376103" w:rsidRDefault="00376103" w:rsidP="00B675E8">
      <w:pPr>
        <w:jc w:val="both"/>
        <w:rPr>
          <w:sz w:val="22"/>
          <w:szCs w:val="22"/>
        </w:rPr>
      </w:pPr>
    </w:p>
    <w:p w:rsidR="00376103" w:rsidRDefault="00376103" w:rsidP="00B675E8">
      <w:pPr>
        <w:jc w:val="both"/>
        <w:rPr>
          <w:sz w:val="22"/>
          <w:szCs w:val="22"/>
        </w:rPr>
      </w:pPr>
    </w:p>
    <w:p w:rsidR="00376103" w:rsidRPr="007C5312" w:rsidRDefault="007C5312" w:rsidP="00B675E8">
      <w:pPr>
        <w:jc w:val="both"/>
        <w:rPr>
          <w:b/>
          <w:caps/>
          <w:sz w:val="22"/>
          <w:szCs w:val="22"/>
        </w:rPr>
      </w:pPr>
      <w:r w:rsidRPr="007C5312">
        <w:rPr>
          <w:b/>
          <w:caps/>
          <w:sz w:val="22"/>
          <w:szCs w:val="22"/>
        </w:rPr>
        <w:t>Strategie und Ziele</w:t>
      </w:r>
      <w:r w:rsidR="00857696">
        <w:rPr>
          <w:b/>
          <w:caps/>
          <w:sz w:val="22"/>
          <w:szCs w:val="22"/>
        </w:rPr>
        <w:t xml:space="preserve"> (nachhaltige, strategische </w:t>
      </w:r>
      <w:r>
        <w:rPr>
          <w:b/>
          <w:caps/>
          <w:sz w:val="22"/>
          <w:szCs w:val="22"/>
        </w:rPr>
        <w:t>ausrichtung)</w:t>
      </w:r>
    </w:p>
    <w:p w:rsidR="00CC33BF" w:rsidRDefault="00F2321E" w:rsidP="00F2321E">
      <w:pPr>
        <w:jc w:val="both"/>
        <w:rPr>
          <w:sz w:val="22"/>
          <w:szCs w:val="22"/>
        </w:rPr>
      </w:pPr>
      <w:r w:rsidRPr="00F2321E">
        <w:rPr>
          <w:sz w:val="22"/>
          <w:szCs w:val="22"/>
        </w:rPr>
        <w:t xml:space="preserve">Klare Ziele, innovative Managementkonzepte und die konsequente Umsetzung der </w:t>
      </w:r>
      <w:r w:rsidR="00A40280">
        <w:rPr>
          <w:sz w:val="22"/>
          <w:szCs w:val="22"/>
        </w:rPr>
        <w:t xml:space="preserve">zuvor </w:t>
      </w:r>
      <w:r w:rsidRPr="00F2321E">
        <w:rPr>
          <w:sz w:val="22"/>
          <w:szCs w:val="22"/>
        </w:rPr>
        <w:t>definierten Maßnahmen sorgen für den Erfolg des Eigenbetriebs zum Wohle der Bürger.</w:t>
      </w:r>
      <w:r>
        <w:rPr>
          <w:sz w:val="22"/>
          <w:szCs w:val="22"/>
        </w:rPr>
        <w:t xml:space="preserve"> </w:t>
      </w:r>
      <w:r w:rsidRPr="00F2321E">
        <w:rPr>
          <w:sz w:val="22"/>
          <w:szCs w:val="22"/>
        </w:rPr>
        <w:t>D</w:t>
      </w:r>
      <w:r w:rsidR="00A40280">
        <w:rPr>
          <w:sz w:val="22"/>
          <w:szCs w:val="22"/>
        </w:rPr>
        <w:t>en Anstieg der</w:t>
      </w:r>
      <w:r w:rsidRPr="00F2321E">
        <w:rPr>
          <w:sz w:val="22"/>
          <w:szCs w:val="22"/>
        </w:rPr>
        <w:t xml:space="preserve"> Abwassergebühren für die Bürger </w:t>
      </w:r>
      <w:r w:rsidR="00A40280">
        <w:rPr>
          <w:sz w:val="22"/>
          <w:szCs w:val="22"/>
        </w:rPr>
        <w:t>moderat</w:t>
      </w:r>
      <w:r w:rsidR="00C17E0B">
        <w:rPr>
          <w:sz w:val="22"/>
          <w:szCs w:val="22"/>
        </w:rPr>
        <w:t xml:space="preserve"> zu halten – </w:t>
      </w:r>
      <w:r w:rsidRPr="00F2321E">
        <w:rPr>
          <w:sz w:val="22"/>
          <w:szCs w:val="22"/>
        </w:rPr>
        <w:t>ist ein zentrales Ziel der Stadtentwässerung Stuttgart (SES). Um es zu erreichen, überprüft der städtische Eigenb</w:t>
      </w:r>
      <w:r w:rsidRPr="00F2321E">
        <w:rPr>
          <w:sz w:val="22"/>
          <w:szCs w:val="22"/>
        </w:rPr>
        <w:t>e</w:t>
      </w:r>
      <w:r w:rsidRPr="00F2321E">
        <w:rPr>
          <w:sz w:val="22"/>
          <w:szCs w:val="22"/>
        </w:rPr>
        <w:t xml:space="preserve">trieb seit inzwischen über zwölf Jahren regelmäßig </w:t>
      </w:r>
      <w:r>
        <w:rPr>
          <w:sz w:val="22"/>
          <w:szCs w:val="22"/>
        </w:rPr>
        <w:t xml:space="preserve">(mindestens alle drei Jahre) </w:t>
      </w:r>
      <w:r w:rsidRPr="00F2321E">
        <w:rPr>
          <w:sz w:val="22"/>
          <w:szCs w:val="22"/>
        </w:rPr>
        <w:t>seine Strat</w:t>
      </w:r>
      <w:r w:rsidRPr="00F2321E">
        <w:rPr>
          <w:sz w:val="22"/>
          <w:szCs w:val="22"/>
        </w:rPr>
        <w:t>e</w:t>
      </w:r>
      <w:r w:rsidR="00A40280">
        <w:rPr>
          <w:sz w:val="22"/>
          <w:szCs w:val="22"/>
        </w:rPr>
        <w:t xml:space="preserve">gie und achtet </w:t>
      </w:r>
      <w:r w:rsidRPr="00F2321E">
        <w:rPr>
          <w:sz w:val="22"/>
          <w:szCs w:val="22"/>
        </w:rPr>
        <w:t>darauf, dass die im Rahmen der Strategieworkshops verabschiedeten Han</w:t>
      </w:r>
      <w:r w:rsidRPr="00F2321E">
        <w:rPr>
          <w:sz w:val="22"/>
          <w:szCs w:val="22"/>
        </w:rPr>
        <w:t>d</w:t>
      </w:r>
      <w:r w:rsidRPr="00F2321E">
        <w:rPr>
          <w:sz w:val="22"/>
          <w:szCs w:val="22"/>
        </w:rPr>
        <w:t xml:space="preserve">lungsfelder und -maßnahmen erfolgreich umgesetzt werden. </w:t>
      </w:r>
      <w:r>
        <w:rPr>
          <w:sz w:val="22"/>
          <w:szCs w:val="22"/>
        </w:rPr>
        <w:t xml:space="preserve">Der letzte Workshop fand im März 2012 statt. Der nächste wird im ersten Halbjahr 2015 stattfinden. </w:t>
      </w:r>
    </w:p>
    <w:p w:rsidR="00F2321E" w:rsidRPr="00F2321E" w:rsidRDefault="00F2321E" w:rsidP="00F2321E">
      <w:pPr>
        <w:jc w:val="both"/>
        <w:rPr>
          <w:sz w:val="22"/>
          <w:szCs w:val="22"/>
        </w:rPr>
      </w:pPr>
      <w:r>
        <w:rPr>
          <w:sz w:val="22"/>
          <w:szCs w:val="22"/>
        </w:rPr>
        <w:t>Stand</w:t>
      </w:r>
      <w:r w:rsidR="00CC33BF">
        <w:rPr>
          <w:sz w:val="22"/>
          <w:szCs w:val="22"/>
        </w:rPr>
        <w:t xml:space="preserve"> viertes Quartal 2013 </w:t>
      </w:r>
      <w:r w:rsidR="00C42DB0">
        <w:rPr>
          <w:sz w:val="22"/>
          <w:szCs w:val="22"/>
        </w:rPr>
        <w:t>wurde</w:t>
      </w:r>
      <w:r w:rsidR="00CC33BF">
        <w:rPr>
          <w:sz w:val="22"/>
          <w:szCs w:val="22"/>
        </w:rPr>
        <w:t xml:space="preserve"> folgender Bearbeitungsstand erreicht:</w:t>
      </w:r>
    </w:p>
    <w:p w:rsidR="00F2321E" w:rsidRDefault="00F2321E" w:rsidP="00F2321E">
      <w:pPr>
        <w:jc w:val="both"/>
        <w:rPr>
          <w:sz w:val="22"/>
          <w:szCs w:val="22"/>
        </w:rPr>
      </w:pPr>
    </w:p>
    <w:p w:rsidR="00C42DB0" w:rsidRDefault="00CC33BF" w:rsidP="00C42DB0">
      <w:pPr>
        <w:jc w:val="center"/>
        <w:rPr>
          <w:sz w:val="22"/>
          <w:szCs w:val="22"/>
        </w:rPr>
      </w:pPr>
      <w:r w:rsidRPr="00CC33BF">
        <w:rPr>
          <w:noProof/>
          <w:szCs w:val="22"/>
          <w:lang w:eastAsia="de-DE"/>
        </w:rPr>
        <w:drawing>
          <wp:inline distT="0" distB="0" distL="0" distR="0">
            <wp:extent cx="5838103" cy="3086100"/>
            <wp:effectExtent l="19050" t="0" r="0" b="0"/>
            <wp:docPr id="2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7" cy="30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D2" w:rsidRDefault="00AB2CD2" w:rsidP="00C42DB0">
      <w:pPr>
        <w:jc w:val="center"/>
        <w:rPr>
          <w:sz w:val="22"/>
          <w:szCs w:val="22"/>
        </w:rPr>
      </w:pPr>
    </w:p>
    <w:p w:rsidR="00F2321E" w:rsidRPr="00F2321E" w:rsidRDefault="002A658F" w:rsidP="00F2321E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A658F">
        <w:rPr>
          <w:sz w:val="22"/>
          <w:szCs w:val="22"/>
        </w:rPr>
        <w:t xml:space="preserve">ur Messung, Dokumentation und Steuerung der </w:t>
      </w:r>
      <w:r>
        <w:rPr>
          <w:sz w:val="22"/>
          <w:szCs w:val="22"/>
        </w:rPr>
        <w:t>SES-</w:t>
      </w:r>
      <w:r w:rsidRPr="002A658F">
        <w:rPr>
          <w:sz w:val="22"/>
          <w:szCs w:val="22"/>
        </w:rPr>
        <w:t xml:space="preserve">Aktivitäten im Hinblick auf seine </w:t>
      </w:r>
      <w:hyperlink r:id="rId24" w:tooltip="Strategie (Wirtschaft)" w:history="1">
        <w:r w:rsidRPr="002A658F">
          <w:rPr>
            <w:rStyle w:val="Hyperlink"/>
            <w:color w:val="auto"/>
            <w:sz w:val="22"/>
            <w:szCs w:val="22"/>
            <w:u w:val="none"/>
          </w:rPr>
          <w:t>Str</w:t>
        </w:r>
        <w:r w:rsidRPr="002A658F">
          <w:rPr>
            <w:rStyle w:val="Hyperlink"/>
            <w:color w:val="auto"/>
            <w:sz w:val="22"/>
            <w:szCs w:val="22"/>
            <w:u w:val="none"/>
          </w:rPr>
          <w:t>a</w:t>
        </w:r>
        <w:r w:rsidRPr="002A658F">
          <w:rPr>
            <w:rStyle w:val="Hyperlink"/>
            <w:color w:val="auto"/>
            <w:sz w:val="22"/>
            <w:szCs w:val="22"/>
            <w:u w:val="none"/>
          </w:rPr>
          <w:t>tegie</w:t>
        </w:r>
      </w:hyperlink>
      <w:r w:rsidRPr="002A658F">
        <w:rPr>
          <w:sz w:val="22"/>
          <w:szCs w:val="22"/>
        </w:rPr>
        <w:t xml:space="preserve"> und Ziele</w:t>
      </w:r>
      <w:r w:rsidR="00C42DB0" w:rsidRPr="002A658F">
        <w:rPr>
          <w:sz w:val="22"/>
          <w:szCs w:val="22"/>
        </w:rPr>
        <w:t xml:space="preserve"> </w:t>
      </w:r>
      <w:r w:rsidRPr="002A658F">
        <w:rPr>
          <w:sz w:val="22"/>
          <w:szCs w:val="22"/>
        </w:rPr>
        <w:t>hat der Eigenbetrieb seit 2001</w:t>
      </w:r>
      <w:r w:rsidR="00C42DB0" w:rsidRPr="002A658F">
        <w:rPr>
          <w:sz w:val="22"/>
          <w:szCs w:val="22"/>
        </w:rPr>
        <w:t xml:space="preserve"> ein</w:t>
      </w:r>
      <w:r w:rsidR="00C17E0B">
        <w:rPr>
          <w:sz w:val="22"/>
          <w:szCs w:val="22"/>
        </w:rPr>
        <w:t>e</w:t>
      </w:r>
      <w:r w:rsidR="00C42DB0" w:rsidRPr="002A658F">
        <w:rPr>
          <w:sz w:val="22"/>
          <w:szCs w:val="22"/>
        </w:rPr>
        <w:t xml:space="preserve"> </w:t>
      </w:r>
      <w:proofErr w:type="spellStart"/>
      <w:r w:rsidR="00F2321E" w:rsidRPr="00F2321E">
        <w:rPr>
          <w:sz w:val="22"/>
          <w:szCs w:val="22"/>
        </w:rPr>
        <w:t>Balanced</w:t>
      </w:r>
      <w:proofErr w:type="spellEnd"/>
      <w:r w:rsidR="00F2321E" w:rsidRPr="00F2321E">
        <w:rPr>
          <w:sz w:val="22"/>
          <w:szCs w:val="22"/>
        </w:rPr>
        <w:t xml:space="preserve"> </w:t>
      </w:r>
      <w:proofErr w:type="spellStart"/>
      <w:r w:rsidR="00F2321E" w:rsidRPr="00F2321E">
        <w:rPr>
          <w:sz w:val="22"/>
          <w:szCs w:val="22"/>
        </w:rPr>
        <w:t>Score</w:t>
      </w:r>
      <w:r>
        <w:rPr>
          <w:sz w:val="22"/>
          <w:szCs w:val="22"/>
        </w:rPr>
        <w:t>c</w:t>
      </w:r>
      <w:r w:rsidR="00F2321E" w:rsidRPr="00F2321E">
        <w:rPr>
          <w:sz w:val="22"/>
          <w:szCs w:val="22"/>
        </w:rPr>
        <w:t>ard</w:t>
      </w:r>
      <w:proofErr w:type="spellEnd"/>
      <w:r w:rsidR="00F2321E" w:rsidRPr="00F2321E">
        <w:rPr>
          <w:sz w:val="22"/>
          <w:szCs w:val="22"/>
        </w:rPr>
        <w:t xml:space="preserve"> (</w:t>
      </w:r>
      <w:r w:rsidRPr="002A658F">
        <w:rPr>
          <w:bCs/>
          <w:sz w:val="22"/>
          <w:szCs w:val="22"/>
        </w:rPr>
        <w:t>BSC</w:t>
      </w:r>
      <w:r>
        <w:rPr>
          <w:sz w:val="22"/>
          <w:szCs w:val="22"/>
        </w:rPr>
        <w:t>) im Einsatz.</w:t>
      </w:r>
      <w:r w:rsidR="00857696">
        <w:rPr>
          <w:sz w:val="22"/>
          <w:szCs w:val="22"/>
        </w:rPr>
        <w:t xml:space="preserve"> </w:t>
      </w:r>
      <w:r w:rsidR="00F2321E" w:rsidRPr="00F2321E">
        <w:rPr>
          <w:sz w:val="22"/>
          <w:szCs w:val="22"/>
        </w:rPr>
        <w:t xml:space="preserve">Bei der Stuttgarter Stadtentwässerung umfasst die BSC </w:t>
      </w:r>
      <w:r w:rsidR="00857696">
        <w:rPr>
          <w:sz w:val="22"/>
          <w:szCs w:val="22"/>
        </w:rPr>
        <w:t>gleichrangig die</w:t>
      </w:r>
      <w:r w:rsidR="00F2321E" w:rsidRPr="00F2321E">
        <w:rPr>
          <w:sz w:val="22"/>
          <w:szCs w:val="22"/>
        </w:rPr>
        <w:t xml:space="preserve"> Finanzperspektive </w:t>
      </w:r>
      <w:r w:rsidR="00F2321E" w:rsidRPr="00F2321E">
        <w:rPr>
          <w:sz w:val="22"/>
          <w:szCs w:val="22"/>
        </w:rPr>
        <w:lastRenderedPageBreak/>
        <w:t>die Bereiche Mitarbeiter und Führung, Kunden und Umwelt sowie Organisation und Proze</w:t>
      </w:r>
      <w:r w:rsidR="00F2321E" w:rsidRPr="00F2321E">
        <w:rPr>
          <w:sz w:val="22"/>
          <w:szCs w:val="22"/>
        </w:rPr>
        <w:t>s</w:t>
      </w:r>
      <w:r w:rsidR="00F2321E" w:rsidRPr="00F2321E">
        <w:rPr>
          <w:sz w:val="22"/>
          <w:szCs w:val="22"/>
        </w:rPr>
        <w:t>se</w:t>
      </w:r>
      <w:r w:rsidR="00857696">
        <w:rPr>
          <w:sz w:val="22"/>
          <w:szCs w:val="22"/>
        </w:rPr>
        <w:t>. Die Zielumsetzung wurde in 2013 quartalsweise abgefragt und im Führungskreis abg</w:t>
      </w:r>
      <w:r w:rsidR="00857696">
        <w:rPr>
          <w:sz w:val="22"/>
          <w:szCs w:val="22"/>
        </w:rPr>
        <w:t>e</w:t>
      </w:r>
      <w:r w:rsidR="00857696">
        <w:rPr>
          <w:sz w:val="22"/>
          <w:szCs w:val="22"/>
        </w:rPr>
        <w:t>stimmt.</w:t>
      </w:r>
    </w:p>
    <w:p w:rsidR="00B675E8" w:rsidRDefault="00B675E8" w:rsidP="00B675E8">
      <w:pPr>
        <w:jc w:val="both"/>
        <w:rPr>
          <w:sz w:val="22"/>
          <w:szCs w:val="22"/>
        </w:rPr>
      </w:pPr>
    </w:p>
    <w:p w:rsidR="00DB058C" w:rsidRDefault="00DB058C" w:rsidP="00B675E8">
      <w:pPr>
        <w:jc w:val="both"/>
        <w:rPr>
          <w:sz w:val="22"/>
          <w:szCs w:val="22"/>
        </w:rPr>
      </w:pPr>
    </w:p>
    <w:p w:rsidR="001C16FC" w:rsidRPr="007C34BF" w:rsidRDefault="001C16FC" w:rsidP="0028040E">
      <w:pPr>
        <w:jc w:val="both"/>
        <w:rPr>
          <w:sz w:val="22"/>
          <w:szCs w:val="22"/>
        </w:rPr>
      </w:pPr>
      <w:r w:rsidRPr="00D146EC">
        <w:rPr>
          <w:b/>
          <w:caps/>
          <w:sz w:val="22"/>
          <w:szCs w:val="22"/>
        </w:rPr>
        <w:t>Risikobericht</w:t>
      </w:r>
      <w:r w:rsidR="007C34BF">
        <w:rPr>
          <w:b/>
          <w:caps/>
          <w:sz w:val="22"/>
          <w:szCs w:val="22"/>
        </w:rPr>
        <w:t xml:space="preserve"> </w:t>
      </w:r>
      <w:r w:rsidR="00857696">
        <w:rPr>
          <w:b/>
          <w:caps/>
          <w:sz w:val="22"/>
          <w:szCs w:val="22"/>
        </w:rPr>
        <w:t>(unterjährige ausrichtung)</w:t>
      </w:r>
    </w:p>
    <w:p w:rsidR="001C16FC" w:rsidRPr="005D2D3F" w:rsidRDefault="001C16FC" w:rsidP="001C16FC">
      <w:pPr>
        <w:jc w:val="both"/>
        <w:rPr>
          <w:sz w:val="22"/>
          <w:szCs w:val="22"/>
        </w:rPr>
      </w:pPr>
      <w:r w:rsidRPr="00E82CCD">
        <w:rPr>
          <w:sz w:val="22"/>
          <w:szCs w:val="22"/>
        </w:rPr>
        <w:t xml:space="preserve">Im Chancen- und Risikomanagementbericht der SES werden die wesentlichen </w:t>
      </w:r>
      <w:r w:rsidR="00857696">
        <w:rPr>
          <w:sz w:val="22"/>
          <w:szCs w:val="22"/>
        </w:rPr>
        <w:t>kritischen Erfolgsfaktoren</w:t>
      </w:r>
      <w:r w:rsidRPr="00E82CCD">
        <w:rPr>
          <w:sz w:val="22"/>
          <w:szCs w:val="22"/>
        </w:rPr>
        <w:t xml:space="preserve"> zur operativen Be</w:t>
      </w:r>
      <w:r>
        <w:rPr>
          <w:sz w:val="22"/>
          <w:szCs w:val="22"/>
        </w:rPr>
        <w:t>triebssteuerung</w:t>
      </w:r>
      <w:r w:rsidR="00B30807">
        <w:rPr>
          <w:sz w:val="22"/>
          <w:szCs w:val="22"/>
        </w:rPr>
        <w:t xml:space="preserve"> </w:t>
      </w:r>
      <w:r w:rsidR="002455F2">
        <w:rPr>
          <w:sz w:val="22"/>
          <w:szCs w:val="22"/>
        </w:rPr>
        <w:t xml:space="preserve">unterjährig </w:t>
      </w:r>
      <w:r>
        <w:rPr>
          <w:sz w:val="22"/>
          <w:szCs w:val="22"/>
        </w:rPr>
        <w:t xml:space="preserve">dargestellt und </w:t>
      </w:r>
      <w:r w:rsidRPr="00E82CCD">
        <w:rPr>
          <w:sz w:val="22"/>
          <w:szCs w:val="22"/>
        </w:rPr>
        <w:t>bewer</w:t>
      </w:r>
      <w:r>
        <w:rPr>
          <w:sz w:val="22"/>
          <w:szCs w:val="22"/>
        </w:rPr>
        <w:t>tet.</w:t>
      </w:r>
      <w:r w:rsidR="006E41FC">
        <w:rPr>
          <w:sz w:val="22"/>
          <w:szCs w:val="22"/>
        </w:rPr>
        <w:t xml:space="preserve"> </w:t>
      </w:r>
      <w:r w:rsidR="00857696">
        <w:rPr>
          <w:sz w:val="22"/>
          <w:szCs w:val="22"/>
        </w:rPr>
        <w:t>Der Bericht besteht aus einer Übersichtsseite und einem kurzen Erläuterungsteil für jede Ken</w:t>
      </w:r>
      <w:r w:rsidR="00857696">
        <w:rPr>
          <w:sz w:val="22"/>
          <w:szCs w:val="22"/>
        </w:rPr>
        <w:t>n</w:t>
      </w:r>
      <w:r w:rsidR="00857696">
        <w:rPr>
          <w:sz w:val="22"/>
          <w:szCs w:val="22"/>
        </w:rPr>
        <w:t xml:space="preserve">größe. </w:t>
      </w:r>
      <w:r w:rsidRPr="001F3791">
        <w:rPr>
          <w:sz w:val="22"/>
        </w:rPr>
        <w:t xml:space="preserve">Negative Entwicklungen </w:t>
      </w:r>
      <w:r>
        <w:rPr>
          <w:sz w:val="22"/>
        </w:rPr>
        <w:t>können</w:t>
      </w:r>
      <w:r w:rsidRPr="001F3791">
        <w:rPr>
          <w:sz w:val="22"/>
        </w:rPr>
        <w:t xml:space="preserve"> </w:t>
      </w:r>
      <w:r w:rsidR="00857696">
        <w:rPr>
          <w:sz w:val="22"/>
        </w:rPr>
        <w:t>durch den Bericht</w:t>
      </w:r>
      <w:r>
        <w:rPr>
          <w:sz w:val="22"/>
        </w:rPr>
        <w:t xml:space="preserve"> rechtzeitig erkannt werden.</w:t>
      </w:r>
      <w:r w:rsidR="005E39E7">
        <w:rPr>
          <w:sz w:val="22"/>
        </w:rPr>
        <w:t xml:space="preserve"> </w:t>
      </w:r>
      <w:r w:rsidRPr="005D2D3F">
        <w:rPr>
          <w:sz w:val="22"/>
          <w:szCs w:val="22"/>
        </w:rPr>
        <w:t xml:space="preserve">In den vierteljährlichen </w:t>
      </w:r>
      <w:r w:rsidR="00F50AEB">
        <w:rPr>
          <w:sz w:val="22"/>
          <w:szCs w:val="22"/>
        </w:rPr>
        <w:t>Chancen- und Risikomanagementberichte</w:t>
      </w:r>
      <w:r w:rsidRPr="005D2D3F">
        <w:rPr>
          <w:sz w:val="22"/>
          <w:szCs w:val="22"/>
        </w:rPr>
        <w:t xml:space="preserve"> </w:t>
      </w:r>
      <w:r w:rsidR="00857696">
        <w:rPr>
          <w:sz w:val="22"/>
          <w:szCs w:val="22"/>
        </w:rPr>
        <w:t>wurden in 2013</w:t>
      </w:r>
      <w:r w:rsidR="00F50AEB">
        <w:rPr>
          <w:sz w:val="22"/>
          <w:szCs w:val="22"/>
        </w:rPr>
        <w:t xml:space="preserve"> </w:t>
      </w:r>
      <w:r w:rsidRPr="005D2D3F">
        <w:rPr>
          <w:sz w:val="22"/>
          <w:szCs w:val="22"/>
        </w:rPr>
        <w:t xml:space="preserve">folgende </w:t>
      </w:r>
      <w:r w:rsidR="00857696">
        <w:rPr>
          <w:sz w:val="22"/>
          <w:szCs w:val="22"/>
        </w:rPr>
        <w:t>kritische Erfolgsfaktoren dargestellt, bewertet und kontrolliert:</w:t>
      </w:r>
    </w:p>
    <w:p w:rsidR="001C16FC" w:rsidRPr="005D2D3F" w:rsidRDefault="001C16FC" w:rsidP="001C16FC">
      <w:pPr>
        <w:jc w:val="both"/>
        <w:rPr>
          <w:sz w:val="22"/>
          <w:szCs w:val="22"/>
        </w:rPr>
      </w:pPr>
    </w:p>
    <w:p w:rsidR="001C16FC" w:rsidRDefault="008D054C" w:rsidP="001C16FC">
      <w:pPr>
        <w:jc w:val="both"/>
        <w:rPr>
          <w:sz w:val="22"/>
          <w:szCs w:val="22"/>
        </w:rPr>
      </w:pPr>
      <w:r w:rsidRPr="008D054C">
        <w:rPr>
          <w:noProof/>
          <w:szCs w:val="22"/>
          <w:lang w:eastAsia="de-DE"/>
        </w:rPr>
        <w:drawing>
          <wp:inline distT="0" distB="0" distL="0" distR="0">
            <wp:extent cx="5878830" cy="4308866"/>
            <wp:effectExtent l="19050" t="0" r="7620" b="0"/>
            <wp:docPr id="2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24" cy="431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E7" w:rsidRDefault="005E39E7" w:rsidP="001C16FC">
      <w:pPr>
        <w:jc w:val="both"/>
        <w:rPr>
          <w:sz w:val="22"/>
          <w:szCs w:val="22"/>
        </w:rPr>
      </w:pPr>
    </w:p>
    <w:p w:rsidR="001622CA" w:rsidRPr="008257B8" w:rsidRDefault="001622CA" w:rsidP="001622CA">
      <w:pPr>
        <w:pStyle w:val="berschrift5"/>
      </w:pPr>
      <w:r w:rsidRPr="008257B8">
        <w:t>Einschätzung des Gesamtrisikos</w:t>
      </w:r>
    </w:p>
    <w:p w:rsidR="00D37B4F" w:rsidRDefault="00F1679A" w:rsidP="00881D5D">
      <w:pPr>
        <w:spacing w:after="120"/>
        <w:jc w:val="both"/>
        <w:rPr>
          <w:sz w:val="22"/>
        </w:rPr>
      </w:pPr>
      <w:r>
        <w:rPr>
          <w:sz w:val="22"/>
        </w:rPr>
        <w:t>Im Laufe des Berichtsjahres waren folgende Ri</w:t>
      </w:r>
      <w:r w:rsidR="00881D5D">
        <w:rPr>
          <w:sz w:val="22"/>
        </w:rPr>
        <w:t xml:space="preserve">sikofaktoren mit </w:t>
      </w:r>
      <w:proofErr w:type="spellStart"/>
      <w:r w:rsidR="00881D5D">
        <w:rPr>
          <w:sz w:val="22"/>
        </w:rPr>
        <w:t>gelb</w:t>
      </w:r>
      <w:proofErr w:type="spellEnd"/>
      <w:r w:rsidR="00881D5D">
        <w:rPr>
          <w:sz w:val="22"/>
        </w:rPr>
        <w:t xml:space="preserve"> („Hinweis zur näheren Betrachtung</w:t>
      </w:r>
      <w:r>
        <w:rPr>
          <w:sz w:val="22"/>
        </w:rPr>
        <w:t>“) bewertet:</w:t>
      </w:r>
    </w:p>
    <w:p w:rsidR="00F1679A" w:rsidRDefault="00F1679A" w:rsidP="00881D5D">
      <w:pPr>
        <w:pStyle w:val="Listenabsatz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sz w:val="22"/>
        </w:rPr>
      </w:pPr>
      <w:r w:rsidRPr="00F1679A">
        <w:rPr>
          <w:sz w:val="22"/>
          <w:u w:val="dotted"/>
        </w:rPr>
        <w:t>Entwicklung ergebniswirksame Anlagenabgänge</w:t>
      </w:r>
      <w:r w:rsidR="00387839">
        <w:rPr>
          <w:sz w:val="22"/>
          <w:u w:val="dotted"/>
        </w:rPr>
        <w:t xml:space="preserve"> (Finanzen)</w:t>
      </w:r>
      <w:r>
        <w:rPr>
          <w:sz w:val="22"/>
        </w:rPr>
        <w:t>. Die ergebniswirksamen A</w:t>
      </w:r>
      <w:r>
        <w:rPr>
          <w:sz w:val="22"/>
        </w:rPr>
        <w:t>n</w:t>
      </w:r>
      <w:r>
        <w:rPr>
          <w:sz w:val="22"/>
        </w:rPr>
        <w:t>lagenabgänge lagen zum Jahresabschluss bei 0,76 Mio. EUR. Eingeplant waren 0,30 Mio. EUR.</w:t>
      </w:r>
    </w:p>
    <w:p w:rsidR="00F1679A" w:rsidRDefault="00F1679A" w:rsidP="00881D5D">
      <w:pPr>
        <w:pStyle w:val="Listenabsatz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sz w:val="22"/>
        </w:rPr>
      </w:pPr>
      <w:r w:rsidRPr="00387839">
        <w:rPr>
          <w:sz w:val="22"/>
          <w:u w:val="dotted"/>
        </w:rPr>
        <w:t xml:space="preserve">Bearbeitung Fortführungsfälle </w:t>
      </w:r>
      <w:r w:rsidR="00DB058C">
        <w:rPr>
          <w:sz w:val="22"/>
          <w:u w:val="dotted"/>
        </w:rPr>
        <w:t>(bei Änderung der Grundstückseigenschaft oder der ve</w:t>
      </w:r>
      <w:r w:rsidR="00DB058C">
        <w:rPr>
          <w:sz w:val="22"/>
          <w:u w:val="dotted"/>
        </w:rPr>
        <w:t>r</w:t>
      </w:r>
      <w:r w:rsidR="00DB058C">
        <w:rPr>
          <w:sz w:val="22"/>
          <w:u w:val="dotted"/>
        </w:rPr>
        <w:t xml:space="preserve">siegelten Fläche) </w:t>
      </w:r>
      <w:r w:rsidRPr="00387839">
        <w:rPr>
          <w:sz w:val="22"/>
          <w:u w:val="dotted"/>
        </w:rPr>
        <w:t>im Rahmen des neuen Abwassergebührensystems</w:t>
      </w:r>
      <w:r w:rsidR="00387839">
        <w:rPr>
          <w:sz w:val="22"/>
          <w:u w:val="dotted"/>
        </w:rPr>
        <w:t xml:space="preserve"> (Kunden und U</w:t>
      </w:r>
      <w:r w:rsidR="00387839">
        <w:rPr>
          <w:sz w:val="22"/>
          <w:u w:val="dotted"/>
        </w:rPr>
        <w:t>m</w:t>
      </w:r>
      <w:r w:rsidR="00387839">
        <w:rPr>
          <w:sz w:val="22"/>
          <w:u w:val="dotted"/>
        </w:rPr>
        <w:t>welt)</w:t>
      </w:r>
      <w:r>
        <w:rPr>
          <w:sz w:val="22"/>
        </w:rPr>
        <w:t xml:space="preserve">. Zur </w:t>
      </w:r>
      <w:r w:rsidR="00387839">
        <w:rPr>
          <w:sz w:val="22"/>
        </w:rPr>
        <w:t>Verbesserung</w:t>
      </w:r>
      <w:r>
        <w:rPr>
          <w:sz w:val="22"/>
        </w:rPr>
        <w:t xml:space="preserve"> der Fallbearbeitung </w:t>
      </w:r>
      <w:r w:rsidR="00387839">
        <w:rPr>
          <w:sz w:val="22"/>
        </w:rPr>
        <w:t>fand eine zeitweise Hospitation eines Mita</w:t>
      </w:r>
      <w:r w:rsidR="00387839">
        <w:rPr>
          <w:sz w:val="22"/>
        </w:rPr>
        <w:t>r</w:t>
      </w:r>
      <w:r w:rsidR="00387839">
        <w:rPr>
          <w:sz w:val="22"/>
        </w:rPr>
        <w:t>beiters des Stadtplanungsamtes bei der SES statt. Ziel: Kein weiterer Anstieg der offenen Fälle.</w:t>
      </w:r>
    </w:p>
    <w:p w:rsidR="00387839" w:rsidRDefault="00387839" w:rsidP="00881D5D">
      <w:pPr>
        <w:pStyle w:val="Listenabsatz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sz w:val="22"/>
        </w:rPr>
      </w:pPr>
      <w:r w:rsidRPr="00881D5D">
        <w:rPr>
          <w:sz w:val="22"/>
          <w:u w:val="dotted"/>
        </w:rPr>
        <w:t>Vertragsmanagement (Organisation und Prozesse)</w:t>
      </w:r>
      <w:r>
        <w:rPr>
          <w:sz w:val="22"/>
        </w:rPr>
        <w:t>. Das Vertragsmanagement der SES funktioniert gut</w:t>
      </w:r>
      <w:r w:rsidR="00881D5D">
        <w:rPr>
          <w:sz w:val="22"/>
        </w:rPr>
        <w:t xml:space="preserve"> und unterstützt den abteilungsübergreifenden Erstellungs</w:t>
      </w:r>
      <w:r>
        <w:rPr>
          <w:sz w:val="22"/>
        </w:rPr>
        <w:t xml:space="preserve">prozess </w:t>
      </w:r>
      <w:r w:rsidR="00881D5D">
        <w:rPr>
          <w:sz w:val="22"/>
        </w:rPr>
        <w:t>der no</w:t>
      </w:r>
      <w:r w:rsidR="00881D5D">
        <w:rPr>
          <w:sz w:val="22"/>
        </w:rPr>
        <w:t>t</w:t>
      </w:r>
      <w:r w:rsidR="00881D5D">
        <w:rPr>
          <w:sz w:val="22"/>
        </w:rPr>
        <w:lastRenderedPageBreak/>
        <w:t>wendigen Verträge. In 2013 waren noch die Themen Einarbeitung der Altverträge und GIS-Anbindung zu regeln. Die Qualität des Vertragsmanagements ist durch das Qualitäts- und Umweltmanagementsystem des Eigenbetriebs gesichert.</w:t>
      </w:r>
    </w:p>
    <w:p w:rsidR="00D37B4F" w:rsidRPr="00881D5D" w:rsidRDefault="00881D5D" w:rsidP="001C16FC">
      <w:pPr>
        <w:pStyle w:val="Listenabsatz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sz w:val="22"/>
        </w:rPr>
      </w:pPr>
      <w:r w:rsidRPr="00881D5D">
        <w:rPr>
          <w:sz w:val="22"/>
          <w:u w:val="dotted"/>
        </w:rPr>
        <w:t>Personalgewinnung (Mitarbeiter und Führung)</w:t>
      </w:r>
      <w:r>
        <w:rPr>
          <w:sz w:val="22"/>
        </w:rPr>
        <w:t>. Die Gewinnung von geeigneten Mitarbe</w:t>
      </w:r>
      <w:r>
        <w:rPr>
          <w:sz w:val="22"/>
        </w:rPr>
        <w:t>i</w:t>
      </w:r>
      <w:r>
        <w:rPr>
          <w:sz w:val="22"/>
        </w:rPr>
        <w:t>tern im Elektrobereich (Ingenieure und auch Fachkräfte) bleibt schwierig. Die Anzahl der Rückmeldungen bei Stellenausschreibungen für Bauingenieure, technische Angestellte, Facharbeiter und Arbeiter ist ausreichend.</w:t>
      </w:r>
    </w:p>
    <w:p w:rsidR="00F1679A" w:rsidRDefault="007D064E" w:rsidP="00F1679A">
      <w:pPr>
        <w:jc w:val="both"/>
        <w:rPr>
          <w:sz w:val="22"/>
        </w:rPr>
      </w:pPr>
      <w:r>
        <w:rPr>
          <w:sz w:val="22"/>
        </w:rPr>
        <w:t>Durch die regelmäßige Erstellung und Bearbeitung des Chancen- und Risikomanagement</w:t>
      </w:r>
      <w:r w:rsidR="00B25AF8">
        <w:rPr>
          <w:sz w:val="22"/>
        </w:rPr>
        <w:t>-</w:t>
      </w:r>
      <w:proofErr w:type="spellStart"/>
      <w:r>
        <w:rPr>
          <w:sz w:val="22"/>
        </w:rPr>
        <w:t>berichts</w:t>
      </w:r>
      <w:proofErr w:type="spellEnd"/>
      <w:r>
        <w:rPr>
          <w:sz w:val="22"/>
        </w:rPr>
        <w:t xml:space="preserve"> der SES werden die kritischen Erfolgsfaltoren regelmäßig bewertet und kommun</w:t>
      </w:r>
      <w:r>
        <w:rPr>
          <w:sz w:val="22"/>
        </w:rPr>
        <w:t>i</w:t>
      </w:r>
      <w:r>
        <w:rPr>
          <w:sz w:val="22"/>
        </w:rPr>
        <w:t xml:space="preserve">ziert. Daraus ergibt sich </w:t>
      </w:r>
      <w:r w:rsidR="00982AD5">
        <w:rPr>
          <w:sz w:val="22"/>
        </w:rPr>
        <w:t xml:space="preserve">für die SES </w:t>
      </w:r>
      <w:r>
        <w:rPr>
          <w:sz w:val="22"/>
        </w:rPr>
        <w:t>die Chan</w:t>
      </w:r>
      <w:r w:rsidR="00982AD5">
        <w:rPr>
          <w:sz w:val="22"/>
        </w:rPr>
        <w:t xml:space="preserve">ce </w:t>
      </w:r>
      <w:r>
        <w:rPr>
          <w:sz w:val="22"/>
        </w:rPr>
        <w:t>Abweichungen zeitnah</w:t>
      </w:r>
      <w:r w:rsidR="00982AD5">
        <w:rPr>
          <w:sz w:val="22"/>
        </w:rPr>
        <w:t xml:space="preserve"> erkennen und geei</w:t>
      </w:r>
      <w:r w:rsidR="00982AD5">
        <w:rPr>
          <w:sz w:val="22"/>
        </w:rPr>
        <w:t>g</w:t>
      </w:r>
      <w:r w:rsidR="00982AD5">
        <w:rPr>
          <w:sz w:val="22"/>
        </w:rPr>
        <w:t>nete Maßnahmen einleiten zu können.</w:t>
      </w:r>
      <w:r w:rsidR="00B17F6C">
        <w:rPr>
          <w:sz w:val="22"/>
        </w:rPr>
        <w:t xml:space="preserve"> </w:t>
      </w:r>
      <w:r w:rsidR="00881D5D">
        <w:rPr>
          <w:sz w:val="22"/>
        </w:rPr>
        <w:t>Insgesamt bestanden zum 31.12.2013</w:t>
      </w:r>
      <w:r w:rsidR="006C4F37">
        <w:rPr>
          <w:sz w:val="22"/>
        </w:rPr>
        <w:t>, n</w:t>
      </w:r>
      <w:r w:rsidR="00F1679A" w:rsidRPr="008257B8">
        <w:rPr>
          <w:sz w:val="22"/>
        </w:rPr>
        <w:t xml:space="preserve">ach den </w:t>
      </w:r>
      <w:r w:rsidR="00F1679A">
        <w:rPr>
          <w:sz w:val="22"/>
        </w:rPr>
        <w:t>ausgewerteten</w:t>
      </w:r>
      <w:r w:rsidR="00F1679A" w:rsidRPr="008257B8">
        <w:rPr>
          <w:sz w:val="22"/>
        </w:rPr>
        <w:t xml:space="preserve"> Informationen und den Aussagen des Chancen- und Risikomanagemen</w:t>
      </w:r>
      <w:r w:rsidR="006C4F37">
        <w:rPr>
          <w:sz w:val="22"/>
        </w:rPr>
        <w:t xml:space="preserve">ts, </w:t>
      </w:r>
      <w:r w:rsidR="00F1679A" w:rsidRPr="003E62E5">
        <w:rPr>
          <w:sz w:val="22"/>
        </w:rPr>
        <w:t xml:space="preserve">keine Risiken, </w:t>
      </w:r>
      <w:r w:rsidR="00F1679A">
        <w:rPr>
          <w:sz w:val="22"/>
        </w:rPr>
        <w:t>die den</w:t>
      </w:r>
      <w:r w:rsidR="00F1679A" w:rsidRPr="003E62E5">
        <w:rPr>
          <w:sz w:val="22"/>
        </w:rPr>
        <w:t xml:space="preserve"> Fortbestand des Eigenbetriebs Stadtentwässerung Stuttgart ge</w:t>
      </w:r>
      <w:r w:rsidR="00F1679A">
        <w:rPr>
          <w:sz w:val="22"/>
        </w:rPr>
        <w:t>fährd</w:t>
      </w:r>
      <w:r w:rsidR="00F1679A">
        <w:rPr>
          <w:sz w:val="22"/>
        </w:rPr>
        <w:t>e</w:t>
      </w:r>
      <w:r w:rsidR="00F1679A">
        <w:rPr>
          <w:sz w:val="22"/>
        </w:rPr>
        <w:t>ten</w:t>
      </w:r>
      <w:r w:rsidR="00F1679A" w:rsidRPr="003E62E5">
        <w:rPr>
          <w:sz w:val="22"/>
        </w:rPr>
        <w:t>.</w:t>
      </w:r>
    </w:p>
    <w:p w:rsidR="00D37B4F" w:rsidRDefault="00D37B4F" w:rsidP="001C16FC">
      <w:pPr>
        <w:jc w:val="both"/>
        <w:rPr>
          <w:sz w:val="22"/>
          <w:szCs w:val="22"/>
        </w:rPr>
      </w:pPr>
    </w:p>
    <w:p w:rsidR="00C65387" w:rsidRDefault="00C65387" w:rsidP="00CA2258">
      <w:pPr>
        <w:jc w:val="both"/>
        <w:rPr>
          <w:sz w:val="22"/>
        </w:rPr>
      </w:pPr>
    </w:p>
    <w:p w:rsidR="001C16FC" w:rsidRPr="008257B8" w:rsidRDefault="001C16FC" w:rsidP="001C16FC">
      <w:pPr>
        <w:jc w:val="both"/>
        <w:rPr>
          <w:b/>
          <w:caps/>
          <w:sz w:val="22"/>
        </w:rPr>
      </w:pPr>
      <w:r w:rsidRPr="00F4349E">
        <w:rPr>
          <w:b/>
          <w:caps/>
          <w:sz w:val="22"/>
        </w:rPr>
        <w:t>Prognosebericht</w:t>
      </w:r>
    </w:p>
    <w:p w:rsidR="005826E1" w:rsidRDefault="004F2D49" w:rsidP="00D1093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52DD" w:rsidRPr="00FE52DD">
        <w:rPr>
          <w:sz w:val="22"/>
          <w:szCs w:val="22"/>
        </w:rPr>
        <w:t xml:space="preserve">ie SES </w:t>
      </w:r>
      <w:r>
        <w:rPr>
          <w:sz w:val="22"/>
          <w:szCs w:val="22"/>
        </w:rPr>
        <w:t xml:space="preserve">wird </w:t>
      </w:r>
      <w:r w:rsidR="00FE52DD" w:rsidRPr="00FE52DD">
        <w:rPr>
          <w:sz w:val="22"/>
          <w:szCs w:val="22"/>
        </w:rPr>
        <w:t xml:space="preserve">auch </w:t>
      </w:r>
      <w:r>
        <w:rPr>
          <w:sz w:val="22"/>
          <w:szCs w:val="22"/>
        </w:rPr>
        <w:t>zukünftig</w:t>
      </w:r>
      <w:r w:rsidR="007477D5">
        <w:rPr>
          <w:sz w:val="22"/>
          <w:szCs w:val="22"/>
        </w:rPr>
        <w:t xml:space="preserve"> </w:t>
      </w:r>
      <w:r w:rsidR="00987B1A">
        <w:rPr>
          <w:sz w:val="22"/>
          <w:szCs w:val="22"/>
        </w:rPr>
        <w:t>nachhaltig</w:t>
      </w:r>
      <w:r w:rsidR="00FE52DD" w:rsidRPr="00FE52DD">
        <w:rPr>
          <w:sz w:val="22"/>
          <w:szCs w:val="22"/>
        </w:rPr>
        <w:t xml:space="preserve"> </w:t>
      </w:r>
      <w:r w:rsidR="0007171C">
        <w:rPr>
          <w:sz w:val="22"/>
          <w:szCs w:val="22"/>
        </w:rPr>
        <w:t xml:space="preserve">im Sinne des </w:t>
      </w:r>
      <w:r w:rsidR="00987B1A">
        <w:rPr>
          <w:sz w:val="22"/>
          <w:szCs w:val="22"/>
        </w:rPr>
        <w:t>Umwelt</w:t>
      </w:r>
      <w:r w:rsidR="0007171C">
        <w:rPr>
          <w:sz w:val="22"/>
          <w:szCs w:val="22"/>
        </w:rPr>
        <w:t>schutzes für</w:t>
      </w:r>
      <w:r w:rsidR="00987B1A">
        <w:rPr>
          <w:sz w:val="22"/>
          <w:szCs w:val="22"/>
        </w:rPr>
        <w:t xml:space="preserve"> die Stuttgarter Bürger </w:t>
      </w:r>
      <w:r w:rsidR="00FE52DD" w:rsidRPr="00FE52DD">
        <w:rPr>
          <w:sz w:val="22"/>
          <w:szCs w:val="22"/>
        </w:rPr>
        <w:t>tät</w:t>
      </w:r>
      <w:r>
        <w:rPr>
          <w:sz w:val="22"/>
          <w:szCs w:val="22"/>
        </w:rPr>
        <w:t xml:space="preserve">ig sein. </w:t>
      </w:r>
      <w:r w:rsidR="003F5E0D">
        <w:rPr>
          <w:sz w:val="22"/>
          <w:szCs w:val="22"/>
        </w:rPr>
        <w:t>Für 201</w:t>
      </w:r>
      <w:r w:rsidR="00B5060D">
        <w:rPr>
          <w:sz w:val="22"/>
          <w:szCs w:val="22"/>
        </w:rPr>
        <w:t>4</w:t>
      </w:r>
      <w:r w:rsidR="003F5E0D">
        <w:rPr>
          <w:sz w:val="22"/>
          <w:szCs w:val="22"/>
        </w:rPr>
        <w:t xml:space="preserve"> sind hierfür</w:t>
      </w:r>
      <w:r w:rsidR="001C16FC">
        <w:rPr>
          <w:sz w:val="22"/>
          <w:szCs w:val="22"/>
        </w:rPr>
        <w:t xml:space="preserve"> Investitionen in Hö</w:t>
      </w:r>
      <w:r w:rsidR="006369DE">
        <w:rPr>
          <w:sz w:val="22"/>
          <w:szCs w:val="22"/>
        </w:rPr>
        <w:t xml:space="preserve">he von </w:t>
      </w:r>
      <w:r w:rsidR="00B5060D">
        <w:rPr>
          <w:sz w:val="22"/>
          <w:szCs w:val="22"/>
        </w:rPr>
        <w:t>über 45</w:t>
      </w:r>
      <w:r w:rsidR="003F5E0D">
        <w:rPr>
          <w:sz w:val="22"/>
          <w:szCs w:val="22"/>
        </w:rPr>
        <w:t xml:space="preserve"> </w:t>
      </w:r>
      <w:r w:rsidR="001C16FC">
        <w:rPr>
          <w:sz w:val="22"/>
          <w:szCs w:val="22"/>
        </w:rPr>
        <w:t>Mio. EUR und Aufwen</w:t>
      </w:r>
      <w:r w:rsidR="005826E1">
        <w:rPr>
          <w:sz w:val="22"/>
          <w:szCs w:val="22"/>
        </w:rPr>
        <w:t xml:space="preserve">dungen von </w:t>
      </w:r>
      <w:r w:rsidR="00B5060D">
        <w:rPr>
          <w:sz w:val="22"/>
          <w:szCs w:val="22"/>
        </w:rPr>
        <w:t>über 111</w:t>
      </w:r>
      <w:r w:rsidR="005826E1">
        <w:rPr>
          <w:sz w:val="22"/>
          <w:szCs w:val="22"/>
        </w:rPr>
        <w:t xml:space="preserve"> Mio. EUR </w:t>
      </w:r>
      <w:r w:rsidR="001C16FC">
        <w:rPr>
          <w:sz w:val="22"/>
          <w:szCs w:val="22"/>
        </w:rPr>
        <w:t xml:space="preserve">vorgesehen. Daneben </w:t>
      </w:r>
      <w:r w:rsidR="005826E1">
        <w:rPr>
          <w:sz w:val="22"/>
          <w:szCs w:val="22"/>
        </w:rPr>
        <w:t xml:space="preserve">ist eine </w:t>
      </w:r>
      <w:r w:rsidR="00183AF3">
        <w:rPr>
          <w:sz w:val="22"/>
          <w:szCs w:val="22"/>
        </w:rPr>
        <w:t>Zuführung</w:t>
      </w:r>
      <w:r w:rsidR="001C16FC">
        <w:rPr>
          <w:sz w:val="22"/>
          <w:szCs w:val="22"/>
        </w:rPr>
        <w:t xml:space="preserve"> zur </w:t>
      </w:r>
      <w:r w:rsidR="005826E1">
        <w:rPr>
          <w:sz w:val="22"/>
          <w:szCs w:val="22"/>
        </w:rPr>
        <w:t>Allg</w:t>
      </w:r>
      <w:r w:rsidR="005826E1">
        <w:rPr>
          <w:sz w:val="22"/>
          <w:szCs w:val="22"/>
        </w:rPr>
        <w:t>e</w:t>
      </w:r>
      <w:r w:rsidR="005826E1">
        <w:rPr>
          <w:sz w:val="22"/>
          <w:szCs w:val="22"/>
        </w:rPr>
        <w:t>meinen R</w:t>
      </w:r>
      <w:r w:rsidR="001C16FC">
        <w:rPr>
          <w:sz w:val="22"/>
          <w:szCs w:val="22"/>
        </w:rPr>
        <w:t>ückla</w:t>
      </w:r>
      <w:r w:rsidR="00B5060D">
        <w:rPr>
          <w:sz w:val="22"/>
          <w:szCs w:val="22"/>
        </w:rPr>
        <w:t>ge in Höhe von 2,20</w:t>
      </w:r>
      <w:r w:rsidR="005826E1">
        <w:rPr>
          <w:sz w:val="22"/>
          <w:szCs w:val="22"/>
        </w:rPr>
        <w:t xml:space="preserve"> Mio. EUR </w:t>
      </w:r>
      <w:r w:rsidR="001C16FC">
        <w:rPr>
          <w:sz w:val="22"/>
          <w:szCs w:val="22"/>
        </w:rPr>
        <w:t xml:space="preserve">eingeplant. </w:t>
      </w:r>
      <w:r w:rsidR="00B5060D">
        <w:rPr>
          <w:sz w:val="22"/>
          <w:szCs w:val="22"/>
        </w:rPr>
        <w:t>Stand 1. Quartal 2014</w:t>
      </w:r>
      <w:r w:rsidR="005826E1">
        <w:rPr>
          <w:sz w:val="22"/>
          <w:szCs w:val="22"/>
        </w:rPr>
        <w:t xml:space="preserve"> ist </w:t>
      </w:r>
      <w:r w:rsidR="00987B1A">
        <w:rPr>
          <w:sz w:val="22"/>
          <w:szCs w:val="22"/>
        </w:rPr>
        <w:t>das ei</w:t>
      </w:r>
      <w:r w:rsidR="00987B1A">
        <w:rPr>
          <w:sz w:val="22"/>
          <w:szCs w:val="22"/>
        </w:rPr>
        <w:t>n</w:t>
      </w:r>
      <w:r w:rsidR="00987B1A">
        <w:rPr>
          <w:sz w:val="22"/>
          <w:szCs w:val="22"/>
        </w:rPr>
        <w:t>gep</w:t>
      </w:r>
      <w:r w:rsidR="00B5060D">
        <w:rPr>
          <w:sz w:val="22"/>
          <w:szCs w:val="22"/>
        </w:rPr>
        <w:t xml:space="preserve">lante Ergebnis auch </w:t>
      </w:r>
      <w:r w:rsidR="00987B1A">
        <w:rPr>
          <w:sz w:val="22"/>
          <w:szCs w:val="22"/>
        </w:rPr>
        <w:t>erreichbar</w:t>
      </w:r>
      <w:r w:rsidR="005826E1">
        <w:rPr>
          <w:sz w:val="22"/>
          <w:szCs w:val="22"/>
        </w:rPr>
        <w:t>.</w:t>
      </w:r>
    </w:p>
    <w:p w:rsidR="00CE4C65" w:rsidRDefault="00CE4C65" w:rsidP="00D1093D">
      <w:pPr>
        <w:jc w:val="both"/>
        <w:rPr>
          <w:sz w:val="22"/>
        </w:rPr>
      </w:pPr>
    </w:p>
    <w:p w:rsidR="003916BD" w:rsidRDefault="003916BD" w:rsidP="00D1093D">
      <w:pPr>
        <w:jc w:val="both"/>
        <w:rPr>
          <w:sz w:val="22"/>
        </w:rPr>
      </w:pPr>
    </w:p>
    <w:p w:rsidR="0073429B" w:rsidRDefault="0073429B" w:rsidP="00D1093D">
      <w:pPr>
        <w:jc w:val="both"/>
        <w:rPr>
          <w:sz w:val="22"/>
        </w:rPr>
      </w:pPr>
    </w:p>
    <w:p w:rsidR="003916BD" w:rsidRDefault="003916BD" w:rsidP="00D1093D">
      <w:pPr>
        <w:jc w:val="both"/>
        <w:rPr>
          <w:sz w:val="22"/>
        </w:rPr>
      </w:pPr>
    </w:p>
    <w:p w:rsidR="001C16FC" w:rsidRPr="003E62E5" w:rsidRDefault="001C16FC" w:rsidP="001C16FC">
      <w:pPr>
        <w:jc w:val="both"/>
        <w:rPr>
          <w:sz w:val="22"/>
        </w:rPr>
      </w:pPr>
      <w:r w:rsidRPr="003E62E5">
        <w:rPr>
          <w:sz w:val="22"/>
        </w:rPr>
        <w:t>Stuttgart,</w:t>
      </w:r>
      <w:r w:rsidR="0098556C">
        <w:rPr>
          <w:sz w:val="22"/>
        </w:rPr>
        <w:t xml:space="preserve"> 10. Juni</w:t>
      </w:r>
      <w:r w:rsidR="00B5060D">
        <w:rPr>
          <w:sz w:val="22"/>
        </w:rPr>
        <w:t xml:space="preserve"> 2014</w:t>
      </w:r>
    </w:p>
    <w:p w:rsidR="001C16FC" w:rsidRPr="003E62E5" w:rsidRDefault="001C16FC" w:rsidP="001C16FC">
      <w:pPr>
        <w:pStyle w:val="berschrift4"/>
        <w:spacing w:line="120" w:lineRule="auto"/>
      </w:pPr>
    </w:p>
    <w:p w:rsidR="001C16FC" w:rsidRDefault="001C16FC" w:rsidP="001C16FC">
      <w:pPr>
        <w:jc w:val="both"/>
        <w:rPr>
          <w:i/>
          <w:iCs/>
          <w:sz w:val="22"/>
        </w:rPr>
      </w:pPr>
    </w:p>
    <w:p w:rsidR="005826E1" w:rsidRDefault="005826E1" w:rsidP="001C16FC">
      <w:pPr>
        <w:jc w:val="both"/>
        <w:rPr>
          <w:i/>
          <w:iCs/>
          <w:sz w:val="22"/>
        </w:rPr>
      </w:pPr>
    </w:p>
    <w:p w:rsidR="005826E1" w:rsidRDefault="005826E1" w:rsidP="001C16FC">
      <w:pPr>
        <w:jc w:val="both"/>
        <w:rPr>
          <w:i/>
          <w:iCs/>
          <w:sz w:val="22"/>
        </w:rPr>
      </w:pPr>
    </w:p>
    <w:p w:rsidR="00CE4C65" w:rsidRPr="003E62E5" w:rsidRDefault="00CE4C65" w:rsidP="001C16FC">
      <w:pPr>
        <w:jc w:val="both"/>
        <w:rPr>
          <w:i/>
          <w:iCs/>
          <w:sz w:val="22"/>
        </w:rPr>
      </w:pPr>
    </w:p>
    <w:p w:rsidR="001C16FC" w:rsidRPr="00A2174D" w:rsidRDefault="00A2174D" w:rsidP="001C16FC">
      <w:pPr>
        <w:jc w:val="both"/>
        <w:rPr>
          <w:i/>
          <w:sz w:val="22"/>
        </w:rPr>
      </w:pPr>
      <w:r w:rsidRPr="00A2174D">
        <w:rPr>
          <w:i/>
          <w:sz w:val="22"/>
        </w:rPr>
        <w:t>(gez.)</w:t>
      </w:r>
      <w:r w:rsidRPr="00A2174D">
        <w:rPr>
          <w:i/>
          <w:sz w:val="22"/>
        </w:rPr>
        <w:tab/>
      </w:r>
      <w:r w:rsidRPr="00A2174D">
        <w:rPr>
          <w:i/>
          <w:sz w:val="22"/>
        </w:rPr>
        <w:tab/>
      </w:r>
      <w:r w:rsidRPr="00A2174D">
        <w:rPr>
          <w:i/>
          <w:sz w:val="22"/>
        </w:rPr>
        <w:tab/>
      </w:r>
      <w:r w:rsidRPr="00A2174D">
        <w:rPr>
          <w:i/>
          <w:sz w:val="22"/>
        </w:rPr>
        <w:tab/>
      </w:r>
      <w:r w:rsidRPr="00A2174D">
        <w:rPr>
          <w:i/>
          <w:sz w:val="22"/>
        </w:rPr>
        <w:tab/>
      </w:r>
      <w:r w:rsidRPr="00A2174D">
        <w:rPr>
          <w:i/>
          <w:sz w:val="22"/>
        </w:rPr>
        <w:tab/>
        <w:t>(gez.)</w:t>
      </w:r>
    </w:p>
    <w:p w:rsidR="001C16FC" w:rsidRPr="003E62E5" w:rsidRDefault="001C16FC" w:rsidP="001C16FC">
      <w:pPr>
        <w:jc w:val="both"/>
        <w:rPr>
          <w:sz w:val="22"/>
        </w:rPr>
      </w:pPr>
      <w:r w:rsidRPr="003E62E5">
        <w:rPr>
          <w:sz w:val="22"/>
        </w:rPr>
        <w:t>Erster Betriebsleiter</w:t>
      </w:r>
      <w:r w:rsidR="005826E1" w:rsidRPr="005826E1">
        <w:rPr>
          <w:sz w:val="22"/>
          <w:szCs w:val="22"/>
        </w:rPr>
        <w:t xml:space="preserve"> </w:t>
      </w:r>
      <w:r w:rsidR="005826E1">
        <w:rPr>
          <w:sz w:val="22"/>
          <w:szCs w:val="22"/>
        </w:rPr>
        <w:tab/>
      </w:r>
      <w:r w:rsidR="005826E1">
        <w:rPr>
          <w:sz w:val="22"/>
          <w:szCs w:val="22"/>
        </w:rPr>
        <w:tab/>
      </w:r>
      <w:r w:rsidR="005826E1">
        <w:rPr>
          <w:sz w:val="22"/>
          <w:szCs w:val="22"/>
        </w:rPr>
        <w:tab/>
      </w:r>
      <w:r w:rsidR="005826E1">
        <w:rPr>
          <w:sz w:val="22"/>
          <w:szCs w:val="22"/>
        </w:rPr>
        <w:tab/>
      </w:r>
      <w:r w:rsidR="005826E1" w:rsidRPr="003E62E5">
        <w:rPr>
          <w:sz w:val="22"/>
          <w:szCs w:val="22"/>
        </w:rPr>
        <w:t>Kaufmännischer Betriebsleiter</w:t>
      </w:r>
    </w:p>
    <w:p w:rsidR="001C16FC" w:rsidRPr="00513E1D" w:rsidRDefault="001C16FC" w:rsidP="001C16FC">
      <w:pPr>
        <w:jc w:val="both"/>
        <w:rPr>
          <w:sz w:val="22"/>
          <w:szCs w:val="22"/>
        </w:rPr>
      </w:pPr>
      <w:r w:rsidRPr="005826E1">
        <w:rPr>
          <w:sz w:val="22"/>
          <w:szCs w:val="22"/>
        </w:rPr>
        <w:t>Dipl.-Ing. Wolfgang Schanz</w:t>
      </w:r>
      <w:r w:rsidRPr="003E62E5">
        <w:t xml:space="preserve">                     </w:t>
      </w:r>
      <w:r w:rsidR="005826E1">
        <w:tab/>
      </w:r>
      <w:r w:rsidRPr="003E62E5">
        <w:rPr>
          <w:sz w:val="22"/>
          <w:szCs w:val="22"/>
        </w:rPr>
        <w:t xml:space="preserve">Dipl.-Kaufm. Frank </w:t>
      </w:r>
      <w:proofErr w:type="spellStart"/>
      <w:r w:rsidRPr="003E62E5">
        <w:rPr>
          <w:sz w:val="22"/>
          <w:szCs w:val="22"/>
        </w:rPr>
        <w:t>Endrich</w:t>
      </w:r>
      <w:proofErr w:type="spellEnd"/>
    </w:p>
    <w:p w:rsidR="00E82279" w:rsidRPr="007464E9" w:rsidRDefault="00E82279">
      <w:pPr>
        <w:pStyle w:val="Textkrper"/>
        <w:rPr>
          <w:b w:val="0"/>
          <w:sz w:val="22"/>
        </w:rPr>
      </w:pPr>
    </w:p>
    <w:sectPr w:rsidR="00E82279" w:rsidRPr="007464E9" w:rsidSect="00A5646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2D" w:rsidRDefault="0014622D">
      <w:r>
        <w:separator/>
      </w:r>
    </w:p>
  </w:endnote>
  <w:endnote w:type="continuationSeparator" w:id="0">
    <w:p w:rsidR="0014622D" w:rsidRDefault="0014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2D" w:rsidRDefault="00C6420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462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622D">
      <w:rPr>
        <w:rStyle w:val="Seitenzahl"/>
        <w:noProof/>
      </w:rPr>
      <w:t>12</w:t>
    </w:r>
    <w:r>
      <w:rPr>
        <w:rStyle w:val="Seitenzahl"/>
      </w:rPr>
      <w:fldChar w:fldCharType="end"/>
    </w:r>
  </w:p>
  <w:p w:rsidR="0014622D" w:rsidRDefault="0014622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2D" w:rsidRPr="00AE4591" w:rsidRDefault="0014622D">
    <w:pPr>
      <w:pStyle w:val="Fuzeile"/>
      <w:rPr>
        <w:sz w:val="20"/>
      </w:rPr>
    </w:pPr>
    <w:r>
      <w:tab/>
    </w:r>
    <w:r w:rsidRPr="00AE4591">
      <w:rPr>
        <w:sz w:val="20"/>
      </w:rPr>
      <w:t xml:space="preserve">Seite </w:t>
    </w:r>
    <w:r w:rsidR="00C64208" w:rsidRPr="00AE4591">
      <w:rPr>
        <w:sz w:val="20"/>
      </w:rPr>
      <w:fldChar w:fldCharType="begin"/>
    </w:r>
    <w:r w:rsidRPr="00AE4591">
      <w:rPr>
        <w:sz w:val="20"/>
      </w:rPr>
      <w:instrText xml:space="preserve"> PAGE </w:instrText>
    </w:r>
    <w:r w:rsidR="00C64208" w:rsidRPr="00AE4591">
      <w:rPr>
        <w:sz w:val="20"/>
      </w:rPr>
      <w:fldChar w:fldCharType="separate"/>
    </w:r>
    <w:r w:rsidR="0078744F">
      <w:rPr>
        <w:noProof/>
        <w:sz w:val="20"/>
      </w:rPr>
      <w:t>1</w:t>
    </w:r>
    <w:r w:rsidR="00C64208" w:rsidRPr="00AE4591">
      <w:rPr>
        <w:sz w:val="20"/>
      </w:rPr>
      <w:fldChar w:fldCharType="end"/>
    </w:r>
    <w:r w:rsidRPr="00AE4591">
      <w:rPr>
        <w:sz w:val="20"/>
      </w:rPr>
      <w:t xml:space="preserve"> von </w:t>
    </w:r>
    <w:r w:rsidR="00C64208" w:rsidRPr="00AE4591">
      <w:rPr>
        <w:sz w:val="20"/>
      </w:rPr>
      <w:fldChar w:fldCharType="begin"/>
    </w:r>
    <w:r w:rsidRPr="00AE4591">
      <w:rPr>
        <w:sz w:val="20"/>
      </w:rPr>
      <w:instrText xml:space="preserve"> NUMPAGES </w:instrText>
    </w:r>
    <w:r w:rsidR="00C64208" w:rsidRPr="00AE4591">
      <w:rPr>
        <w:sz w:val="20"/>
      </w:rPr>
      <w:fldChar w:fldCharType="separate"/>
    </w:r>
    <w:r w:rsidR="0078744F">
      <w:rPr>
        <w:noProof/>
        <w:sz w:val="20"/>
      </w:rPr>
      <w:t>10</w:t>
    </w:r>
    <w:r w:rsidR="00C64208" w:rsidRPr="00AE4591">
      <w:rPr>
        <w:sz w:val="20"/>
      </w:rPr>
      <w:fldChar w:fldCharType="end"/>
    </w:r>
    <w:r w:rsidRPr="00AE4591">
      <w:rPr>
        <w:sz w:val="20"/>
      </w:rPr>
      <w:tab/>
    </w:r>
    <w:r w:rsidRPr="00AE4591">
      <w:rPr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4F" w:rsidRDefault="0078744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2D" w:rsidRDefault="0014622D">
      <w:r>
        <w:separator/>
      </w:r>
    </w:p>
  </w:footnote>
  <w:footnote w:type="continuationSeparator" w:id="0">
    <w:p w:rsidR="0014622D" w:rsidRDefault="0014622D">
      <w:r>
        <w:continuationSeparator/>
      </w:r>
    </w:p>
  </w:footnote>
  <w:footnote w:id="1">
    <w:p w:rsidR="0014622D" w:rsidRPr="00C46E8C" w:rsidRDefault="0014622D" w:rsidP="00AB2CD2">
      <w:pPr>
        <w:pStyle w:val="Defaul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46E8C">
        <w:rPr>
          <w:sz w:val="16"/>
          <w:szCs w:val="16"/>
        </w:rPr>
        <w:t>Quelle: Wirtschaftsdaten der Abwasserbeseitigung</w:t>
      </w:r>
      <w:r>
        <w:rPr>
          <w:sz w:val="16"/>
          <w:szCs w:val="16"/>
        </w:rPr>
        <w:t xml:space="preserve"> 2013. </w:t>
      </w:r>
      <w:r w:rsidRPr="00C46E8C">
        <w:rPr>
          <w:sz w:val="16"/>
          <w:szCs w:val="16"/>
        </w:rPr>
        <w:t>Ergebnisse einer gemeinsamen Umfrage der Deutschen Verei</w:t>
      </w:r>
      <w:r>
        <w:rPr>
          <w:sz w:val="16"/>
          <w:szCs w:val="16"/>
        </w:rPr>
        <w:t>n</w:t>
      </w:r>
      <w:r w:rsidRPr="00C46E8C">
        <w:rPr>
          <w:sz w:val="16"/>
          <w:szCs w:val="16"/>
        </w:rPr>
        <w:t>i</w:t>
      </w:r>
      <w:r w:rsidRPr="00C46E8C">
        <w:rPr>
          <w:sz w:val="16"/>
          <w:szCs w:val="16"/>
        </w:rPr>
        <w:t>gung für Wasserwirtschaft, Abwasser und Abfall (DWA) und des Deutschen Städtetages sowie des Deutschen Städte- und Gemein</w:t>
      </w:r>
      <w:r>
        <w:rPr>
          <w:sz w:val="16"/>
          <w:szCs w:val="16"/>
        </w:rPr>
        <w:t>debundes.</w:t>
      </w:r>
    </w:p>
    <w:p w:rsidR="0014622D" w:rsidRDefault="0014622D" w:rsidP="00AB2CD2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4F" w:rsidRDefault="0078744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0F" w:rsidRDefault="000B050F" w:rsidP="00881BCB">
    <w:pPr>
      <w:pStyle w:val="Kopfzeile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</w:t>
    </w:r>
    <w:r w:rsidR="0078744F">
      <w:rPr>
        <w:sz w:val="16"/>
      </w:rPr>
      <w:t xml:space="preserve">   </w:t>
    </w:r>
    <w:r>
      <w:rPr>
        <w:sz w:val="16"/>
      </w:rPr>
      <w:t xml:space="preserve">  </w:t>
    </w:r>
    <w:r w:rsidR="0078744F">
      <w:rPr>
        <w:sz w:val="16"/>
      </w:rPr>
      <w:t xml:space="preserve">Anlage 2 zur </w:t>
    </w:r>
    <w:proofErr w:type="spellStart"/>
    <w:r>
      <w:rPr>
        <w:sz w:val="16"/>
      </w:rPr>
      <w:t>GRDrs</w:t>
    </w:r>
    <w:proofErr w:type="spellEnd"/>
    <w:r>
      <w:rPr>
        <w:sz w:val="16"/>
      </w:rPr>
      <w:t xml:space="preserve"> 652/2014</w:t>
    </w:r>
    <w:r>
      <w:rPr>
        <w:sz w:val="16"/>
      </w:rPr>
      <w:tab/>
      <w:t xml:space="preserve">                                  </w:t>
    </w:r>
  </w:p>
  <w:p w:rsidR="000B050F" w:rsidRDefault="000B050F" w:rsidP="00881BCB">
    <w:pPr>
      <w:pStyle w:val="Kopfzeile"/>
      <w:rPr>
        <w:sz w:val="16"/>
      </w:rPr>
    </w:pPr>
  </w:p>
  <w:p w:rsidR="0014622D" w:rsidRDefault="0014622D" w:rsidP="00881BCB">
    <w:pPr>
      <w:pStyle w:val="Kopfzeile"/>
      <w:rPr>
        <w:sz w:val="16"/>
      </w:rPr>
    </w:pPr>
    <w:r>
      <w:rPr>
        <w:sz w:val="16"/>
      </w:rPr>
      <w:t>Eigenbetrieb Stadtentwässerung Stuttgart</w:t>
    </w:r>
    <w:r>
      <w:rPr>
        <w:sz w:val="16"/>
      </w:rPr>
      <w:tab/>
    </w:r>
    <w:r>
      <w:rPr>
        <w:sz w:val="16"/>
      </w:rPr>
      <w:tab/>
      <w:t>Lagebericht für das Wirtschaftsjahr 2013</w:t>
    </w:r>
  </w:p>
  <w:p w:rsidR="0014622D" w:rsidRPr="00881BCB" w:rsidRDefault="0014622D" w:rsidP="00881BC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4F" w:rsidRDefault="0078744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5"/>
    <w:multiLevelType w:val="hybridMultilevel"/>
    <w:tmpl w:val="6158EA98"/>
    <w:lvl w:ilvl="0" w:tplc="AF30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10C9E"/>
    <w:multiLevelType w:val="hybridMultilevel"/>
    <w:tmpl w:val="527AAB5A"/>
    <w:lvl w:ilvl="0" w:tplc="AF30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3C1B"/>
    <w:multiLevelType w:val="hybridMultilevel"/>
    <w:tmpl w:val="1E54CE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631D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305A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1610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E413D14"/>
    <w:multiLevelType w:val="multilevel"/>
    <w:tmpl w:val="A5A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5709A"/>
    <w:multiLevelType w:val="hybridMultilevel"/>
    <w:tmpl w:val="447A4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301C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3AA50127"/>
    <w:multiLevelType w:val="hybridMultilevel"/>
    <w:tmpl w:val="D774F718"/>
    <w:lvl w:ilvl="0" w:tplc="AF30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642B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A9606F"/>
    <w:multiLevelType w:val="hybridMultilevel"/>
    <w:tmpl w:val="6D802E7A"/>
    <w:lvl w:ilvl="0" w:tplc="6A26ABE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24DC5"/>
    <w:multiLevelType w:val="hybridMultilevel"/>
    <w:tmpl w:val="9D567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73DDB"/>
    <w:multiLevelType w:val="hybridMultilevel"/>
    <w:tmpl w:val="59069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B2A34"/>
    <w:multiLevelType w:val="hybridMultilevel"/>
    <w:tmpl w:val="96C6BA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C74832"/>
    <w:multiLevelType w:val="hybridMultilevel"/>
    <w:tmpl w:val="B5F03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F1045"/>
    <w:multiLevelType w:val="hybridMultilevel"/>
    <w:tmpl w:val="CA7EDA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73030"/>
    <w:multiLevelType w:val="hybridMultilevel"/>
    <w:tmpl w:val="A5A0787A"/>
    <w:lvl w:ilvl="0" w:tplc="AF30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90B3D"/>
    <w:multiLevelType w:val="hybridMultilevel"/>
    <w:tmpl w:val="C04A928A"/>
    <w:lvl w:ilvl="0" w:tplc="AF30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7"/>
  </w:num>
  <w:num w:numId="8">
    <w:abstractNumId w:val="6"/>
  </w:num>
  <w:num w:numId="9">
    <w:abstractNumId w:val="14"/>
  </w:num>
  <w:num w:numId="10">
    <w:abstractNumId w:val="16"/>
  </w:num>
  <w:num w:numId="11">
    <w:abstractNumId w:val="0"/>
  </w:num>
  <w:num w:numId="12">
    <w:abstractNumId w:val="18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2"/>
    <w:rsid w:val="00000581"/>
    <w:rsid w:val="00000BC6"/>
    <w:rsid w:val="0000108D"/>
    <w:rsid w:val="0000180C"/>
    <w:rsid w:val="00001E3F"/>
    <w:rsid w:val="000043B2"/>
    <w:rsid w:val="000043F1"/>
    <w:rsid w:val="000052E9"/>
    <w:rsid w:val="0000587F"/>
    <w:rsid w:val="00006743"/>
    <w:rsid w:val="00006E2A"/>
    <w:rsid w:val="00007752"/>
    <w:rsid w:val="00011CEB"/>
    <w:rsid w:val="0001228B"/>
    <w:rsid w:val="00012396"/>
    <w:rsid w:val="00012E28"/>
    <w:rsid w:val="000146CB"/>
    <w:rsid w:val="00014A3B"/>
    <w:rsid w:val="00014F5E"/>
    <w:rsid w:val="0001716A"/>
    <w:rsid w:val="00017A2F"/>
    <w:rsid w:val="00020F56"/>
    <w:rsid w:val="0002151C"/>
    <w:rsid w:val="000217F1"/>
    <w:rsid w:val="00022664"/>
    <w:rsid w:val="00022D02"/>
    <w:rsid w:val="00022E93"/>
    <w:rsid w:val="00023916"/>
    <w:rsid w:val="000247C1"/>
    <w:rsid w:val="000251FB"/>
    <w:rsid w:val="00025331"/>
    <w:rsid w:val="00026C3A"/>
    <w:rsid w:val="000318DD"/>
    <w:rsid w:val="00031A08"/>
    <w:rsid w:val="00033743"/>
    <w:rsid w:val="000343E8"/>
    <w:rsid w:val="00037F17"/>
    <w:rsid w:val="00040992"/>
    <w:rsid w:val="00042149"/>
    <w:rsid w:val="00042E58"/>
    <w:rsid w:val="0004349E"/>
    <w:rsid w:val="00045DD6"/>
    <w:rsid w:val="00046A78"/>
    <w:rsid w:val="00046AA1"/>
    <w:rsid w:val="00047055"/>
    <w:rsid w:val="000471FE"/>
    <w:rsid w:val="00050DF6"/>
    <w:rsid w:val="00051432"/>
    <w:rsid w:val="000515D6"/>
    <w:rsid w:val="00051652"/>
    <w:rsid w:val="00051CC4"/>
    <w:rsid w:val="00052D5E"/>
    <w:rsid w:val="000539E5"/>
    <w:rsid w:val="00056D2F"/>
    <w:rsid w:val="00056FC0"/>
    <w:rsid w:val="00057414"/>
    <w:rsid w:val="00060C70"/>
    <w:rsid w:val="00060D66"/>
    <w:rsid w:val="000611E8"/>
    <w:rsid w:val="000621EC"/>
    <w:rsid w:val="0006259C"/>
    <w:rsid w:val="000633E7"/>
    <w:rsid w:val="000638D1"/>
    <w:rsid w:val="00063B94"/>
    <w:rsid w:val="0006449F"/>
    <w:rsid w:val="00064663"/>
    <w:rsid w:val="00066004"/>
    <w:rsid w:val="00066700"/>
    <w:rsid w:val="00067AA7"/>
    <w:rsid w:val="00070DE6"/>
    <w:rsid w:val="0007171C"/>
    <w:rsid w:val="00071C5A"/>
    <w:rsid w:val="00072DB0"/>
    <w:rsid w:val="00074FDF"/>
    <w:rsid w:val="000757E3"/>
    <w:rsid w:val="00075E1D"/>
    <w:rsid w:val="00076D96"/>
    <w:rsid w:val="00077347"/>
    <w:rsid w:val="00077866"/>
    <w:rsid w:val="00080388"/>
    <w:rsid w:val="0008059B"/>
    <w:rsid w:val="00080B23"/>
    <w:rsid w:val="00081D6A"/>
    <w:rsid w:val="00083EE1"/>
    <w:rsid w:val="00084A31"/>
    <w:rsid w:val="00084D73"/>
    <w:rsid w:val="00085806"/>
    <w:rsid w:val="000866BE"/>
    <w:rsid w:val="00087C19"/>
    <w:rsid w:val="00092AAD"/>
    <w:rsid w:val="00092C3F"/>
    <w:rsid w:val="00093342"/>
    <w:rsid w:val="0009386A"/>
    <w:rsid w:val="000950D4"/>
    <w:rsid w:val="00095DCB"/>
    <w:rsid w:val="00096D71"/>
    <w:rsid w:val="000A0D40"/>
    <w:rsid w:val="000A29BB"/>
    <w:rsid w:val="000A3677"/>
    <w:rsid w:val="000A4B78"/>
    <w:rsid w:val="000A5D2D"/>
    <w:rsid w:val="000A60DE"/>
    <w:rsid w:val="000A6361"/>
    <w:rsid w:val="000A6F5F"/>
    <w:rsid w:val="000A787A"/>
    <w:rsid w:val="000B0065"/>
    <w:rsid w:val="000B050F"/>
    <w:rsid w:val="000B20B2"/>
    <w:rsid w:val="000B327F"/>
    <w:rsid w:val="000B3C41"/>
    <w:rsid w:val="000B5068"/>
    <w:rsid w:val="000C0255"/>
    <w:rsid w:val="000C1428"/>
    <w:rsid w:val="000C3926"/>
    <w:rsid w:val="000C3FDB"/>
    <w:rsid w:val="000C5F18"/>
    <w:rsid w:val="000C64C5"/>
    <w:rsid w:val="000C684A"/>
    <w:rsid w:val="000C69C1"/>
    <w:rsid w:val="000C6C2D"/>
    <w:rsid w:val="000D0311"/>
    <w:rsid w:val="000D14BF"/>
    <w:rsid w:val="000D3380"/>
    <w:rsid w:val="000D35EA"/>
    <w:rsid w:val="000D3D95"/>
    <w:rsid w:val="000D495E"/>
    <w:rsid w:val="000D5B11"/>
    <w:rsid w:val="000D5F2C"/>
    <w:rsid w:val="000D6E2F"/>
    <w:rsid w:val="000D7068"/>
    <w:rsid w:val="000D7410"/>
    <w:rsid w:val="000D7E61"/>
    <w:rsid w:val="000E369F"/>
    <w:rsid w:val="000E42AC"/>
    <w:rsid w:val="000E714F"/>
    <w:rsid w:val="000F025A"/>
    <w:rsid w:val="000F028A"/>
    <w:rsid w:val="000F114A"/>
    <w:rsid w:val="000F14AC"/>
    <w:rsid w:val="000F1BF2"/>
    <w:rsid w:val="000F27F6"/>
    <w:rsid w:val="000F2A75"/>
    <w:rsid w:val="000F5027"/>
    <w:rsid w:val="00101753"/>
    <w:rsid w:val="001019D6"/>
    <w:rsid w:val="00102555"/>
    <w:rsid w:val="001045BD"/>
    <w:rsid w:val="001052A6"/>
    <w:rsid w:val="00106BEA"/>
    <w:rsid w:val="001074DF"/>
    <w:rsid w:val="00110554"/>
    <w:rsid w:val="001112BC"/>
    <w:rsid w:val="0011133E"/>
    <w:rsid w:val="00112896"/>
    <w:rsid w:val="00112C90"/>
    <w:rsid w:val="001133E4"/>
    <w:rsid w:val="00114027"/>
    <w:rsid w:val="00115F10"/>
    <w:rsid w:val="00116375"/>
    <w:rsid w:val="0011643A"/>
    <w:rsid w:val="00116516"/>
    <w:rsid w:val="00116607"/>
    <w:rsid w:val="00116787"/>
    <w:rsid w:val="00116E22"/>
    <w:rsid w:val="001217F4"/>
    <w:rsid w:val="00122818"/>
    <w:rsid w:val="00123091"/>
    <w:rsid w:val="00123B16"/>
    <w:rsid w:val="00126F01"/>
    <w:rsid w:val="001310DB"/>
    <w:rsid w:val="00132AB1"/>
    <w:rsid w:val="001336F6"/>
    <w:rsid w:val="00135606"/>
    <w:rsid w:val="00135BF2"/>
    <w:rsid w:val="001433E3"/>
    <w:rsid w:val="0014554D"/>
    <w:rsid w:val="00145B71"/>
    <w:rsid w:val="001460FA"/>
    <w:rsid w:val="0014622D"/>
    <w:rsid w:val="00146573"/>
    <w:rsid w:val="00146BAA"/>
    <w:rsid w:val="0014768C"/>
    <w:rsid w:val="00147CA0"/>
    <w:rsid w:val="00147D23"/>
    <w:rsid w:val="00152F7F"/>
    <w:rsid w:val="00153F17"/>
    <w:rsid w:val="001545BD"/>
    <w:rsid w:val="00155033"/>
    <w:rsid w:val="00155CCE"/>
    <w:rsid w:val="0015745B"/>
    <w:rsid w:val="00160419"/>
    <w:rsid w:val="0016054B"/>
    <w:rsid w:val="00160F22"/>
    <w:rsid w:val="001622CA"/>
    <w:rsid w:val="001636EB"/>
    <w:rsid w:val="00164996"/>
    <w:rsid w:val="0016532A"/>
    <w:rsid w:val="0016682C"/>
    <w:rsid w:val="00166A3A"/>
    <w:rsid w:val="00166A74"/>
    <w:rsid w:val="00167AF4"/>
    <w:rsid w:val="00167E4E"/>
    <w:rsid w:val="00171294"/>
    <w:rsid w:val="00171B8D"/>
    <w:rsid w:val="00171E60"/>
    <w:rsid w:val="0017277E"/>
    <w:rsid w:val="00172DB6"/>
    <w:rsid w:val="001735B3"/>
    <w:rsid w:val="001748F5"/>
    <w:rsid w:val="0017533D"/>
    <w:rsid w:val="0017625B"/>
    <w:rsid w:val="00177175"/>
    <w:rsid w:val="00181328"/>
    <w:rsid w:val="00181602"/>
    <w:rsid w:val="00181BDE"/>
    <w:rsid w:val="00183347"/>
    <w:rsid w:val="00183AF3"/>
    <w:rsid w:val="0018412C"/>
    <w:rsid w:val="00184B3B"/>
    <w:rsid w:val="00184DC9"/>
    <w:rsid w:val="001854B3"/>
    <w:rsid w:val="00185FE0"/>
    <w:rsid w:val="001860E5"/>
    <w:rsid w:val="00186B66"/>
    <w:rsid w:val="00187A5D"/>
    <w:rsid w:val="00187F06"/>
    <w:rsid w:val="00191A5C"/>
    <w:rsid w:val="0019403B"/>
    <w:rsid w:val="0019433A"/>
    <w:rsid w:val="00196088"/>
    <w:rsid w:val="00197062"/>
    <w:rsid w:val="00197470"/>
    <w:rsid w:val="00197AC0"/>
    <w:rsid w:val="00197E2E"/>
    <w:rsid w:val="001A016D"/>
    <w:rsid w:val="001A372E"/>
    <w:rsid w:val="001A3A0C"/>
    <w:rsid w:val="001A6E18"/>
    <w:rsid w:val="001B0697"/>
    <w:rsid w:val="001B0E78"/>
    <w:rsid w:val="001B0F4A"/>
    <w:rsid w:val="001B2190"/>
    <w:rsid w:val="001B50D7"/>
    <w:rsid w:val="001B7DBA"/>
    <w:rsid w:val="001C12E6"/>
    <w:rsid w:val="001C16FC"/>
    <w:rsid w:val="001C1FB0"/>
    <w:rsid w:val="001C299D"/>
    <w:rsid w:val="001C3800"/>
    <w:rsid w:val="001C4E71"/>
    <w:rsid w:val="001C5C74"/>
    <w:rsid w:val="001C6A86"/>
    <w:rsid w:val="001C7D57"/>
    <w:rsid w:val="001C7E79"/>
    <w:rsid w:val="001D0011"/>
    <w:rsid w:val="001D1DDD"/>
    <w:rsid w:val="001D1F65"/>
    <w:rsid w:val="001D21AD"/>
    <w:rsid w:val="001D27B4"/>
    <w:rsid w:val="001D6C5B"/>
    <w:rsid w:val="001E0868"/>
    <w:rsid w:val="001E1595"/>
    <w:rsid w:val="001E1748"/>
    <w:rsid w:val="001E1B8B"/>
    <w:rsid w:val="001E4C34"/>
    <w:rsid w:val="001E59CB"/>
    <w:rsid w:val="001E5B20"/>
    <w:rsid w:val="001E6BF5"/>
    <w:rsid w:val="001F1C70"/>
    <w:rsid w:val="001F3791"/>
    <w:rsid w:val="001F3C17"/>
    <w:rsid w:val="001F75A0"/>
    <w:rsid w:val="001F7815"/>
    <w:rsid w:val="00201B3D"/>
    <w:rsid w:val="0020272C"/>
    <w:rsid w:val="00203E0C"/>
    <w:rsid w:val="00205081"/>
    <w:rsid w:val="002063D7"/>
    <w:rsid w:val="00206425"/>
    <w:rsid w:val="0020694A"/>
    <w:rsid w:val="002104E6"/>
    <w:rsid w:val="002105C5"/>
    <w:rsid w:val="0021075B"/>
    <w:rsid w:val="00210F3C"/>
    <w:rsid w:val="002114C4"/>
    <w:rsid w:val="00212E32"/>
    <w:rsid w:val="00212EAF"/>
    <w:rsid w:val="002133C5"/>
    <w:rsid w:val="00214E13"/>
    <w:rsid w:val="0021695F"/>
    <w:rsid w:val="00220336"/>
    <w:rsid w:val="002204C9"/>
    <w:rsid w:val="0022075F"/>
    <w:rsid w:val="00221BDC"/>
    <w:rsid w:val="00222098"/>
    <w:rsid w:val="002227C4"/>
    <w:rsid w:val="002228F1"/>
    <w:rsid w:val="00224E69"/>
    <w:rsid w:val="00225E22"/>
    <w:rsid w:val="002277AF"/>
    <w:rsid w:val="00227E33"/>
    <w:rsid w:val="00231E04"/>
    <w:rsid w:val="0023263D"/>
    <w:rsid w:val="00233CBE"/>
    <w:rsid w:val="00234C05"/>
    <w:rsid w:val="00236C2D"/>
    <w:rsid w:val="0023744B"/>
    <w:rsid w:val="00240045"/>
    <w:rsid w:val="00241D3A"/>
    <w:rsid w:val="00242822"/>
    <w:rsid w:val="002455F2"/>
    <w:rsid w:val="0024591E"/>
    <w:rsid w:val="0024723A"/>
    <w:rsid w:val="00250528"/>
    <w:rsid w:val="002506F7"/>
    <w:rsid w:val="002514E4"/>
    <w:rsid w:val="002525B7"/>
    <w:rsid w:val="002528BD"/>
    <w:rsid w:val="0025304C"/>
    <w:rsid w:val="00256D8E"/>
    <w:rsid w:val="002571D8"/>
    <w:rsid w:val="00257215"/>
    <w:rsid w:val="002608B6"/>
    <w:rsid w:val="00260907"/>
    <w:rsid w:val="00262C5B"/>
    <w:rsid w:val="00262E75"/>
    <w:rsid w:val="00263B5A"/>
    <w:rsid w:val="00264853"/>
    <w:rsid w:val="002719EB"/>
    <w:rsid w:val="0027207B"/>
    <w:rsid w:val="00274093"/>
    <w:rsid w:val="00275388"/>
    <w:rsid w:val="00275768"/>
    <w:rsid w:val="00275787"/>
    <w:rsid w:val="0028040E"/>
    <w:rsid w:val="002826E4"/>
    <w:rsid w:val="002835F1"/>
    <w:rsid w:val="00285ABA"/>
    <w:rsid w:val="002862D9"/>
    <w:rsid w:val="002864DC"/>
    <w:rsid w:val="00286D3C"/>
    <w:rsid w:val="00287659"/>
    <w:rsid w:val="002915AD"/>
    <w:rsid w:val="0029447A"/>
    <w:rsid w:val="00295256"/>
    <w:rsid w:val="00297B67"/>
    <w:rsid w:val="002A0072"/>
    <w:rsid w:val="002A12D8"/>
    <w:rsid w:val="002A1452"/>
    <w:rsid w:val="002A57AC"/>
    <w:rsid w:val="002A658F"/>
    <w:rsid w:val="002A7DDA"/>
    <w:rsid w:val="002B00F1"/>
    <w:rsid w:val="002B116E"/>
    <w:rsid w:val="002B23EF"/>
    <w:rsid w:val="002B4021"/>
    <w:rsid w:val="002B403C"/>
    <w:rsid w:val="002B59AA"/>
    <w:rsid w:val="002C1B86"/>
    <w:rsid w:val="002C25BE"/>
    <w:rsid w:val="002C268E"/>
    <w:rsid w:val="002C3A98"/>
    <w:rsid w:val="002C3AB9"/>
    <w:rsid w:val="002C43D7"/>
    <w:rsid w:val="002C48AC"/>
    <w:rsid w:val="002C63F9"/>
    <w:rsid w:val="002C693B"/>
    <w:rsid w:val="002C7037"/>
    <w:rsid w:val="002D004D"/>
    <w:rsid w:val="002D145E"/>
    <w:rsid w:val="002D1956"/>
    <w:rsid w:val="002D217F"/>
    <w:rsid w:val="002D2B60"/>
    <w:rsid w:val="002D466B"/>
    <w:rsid w:val="002D49D2"/>
    <w:rsid w:val="002D50FC"/>
    <w:rsid w:val="002D5373"/>
    <w:rsid w:val="002D5757"/>
    <w:rsid w:val="002D5C8C"/>
    <w:rsid w:val="002D5DE3"/>
    <w:rsid w:val="002D63AC"/>
    <w:rsid w:val="002D7201"/>
    <w:rsid w:val="002D7E31"/>
    <w:rsid w:val="002E0584"/>
    <w:rsid w:val="002E08AB"/>
    <w:rsid w:val="002E1102"/>
    <w:rsid w:val="002E1B53"/>
    <w:rsid w:val="002E3934"/>
    <w:rsid w:val="002E4BB2"/>
    <w:rsid w:val="002E5BD3"/>
    <w:rsid w:val="002E7C2F"/>
    <w:rsid w:val="002E7CBD"/>
    <w:rsid w:val="002F15DE"/>
    <w:rsid w:val="002F1C54"/>
    <w:rsid w:val="002F2844"/>
    <w:rsid w:val="002F3228"/>
    <w:rsid w:val="002F4A4B"/>
    <w:rsid w:val="002F68F9"/>
    <w:rsid w:val="002F7F91"/>
    <w:rsid w:val="0030013E"/>
    <w:rsid w:val="00300FEE"/>
    <w:rsid w:val="003014BC"/>
    <w:rsid w:val="00302E12"/>
    <w:rsid w:val="00302F00"/>
    <w:rsid w:val="003049FE"/>
    <w:rsid w:val="00306343"/>
    <w:rsid w:val="00306D6C"/>
    <w:rsid w:val="003072CD"/>
    <w:rsid w:val="00307BB6"/>
    <w:rsid w:val="00311EB9"/>
    <w:rsid w:val="00312380"/>
    <w:rsid w:val="00314240"/>
    <w:rsid w:val="00315892"/>
    <w:rsid w:val="0031725A"/>
    <w:rsid w:val="00322395"/>
    <w:rsid w:val="0032284A"/>
    <w:rsid w:val="00324222"/>
    <w:rsid w:val="00324543"/>
    <w:rsid w:val="00324C51"/>
    <w:rsid w:val="00325120"/>
    <w:rsid w:val="003261A0"/>
    <w:rsid w:val="0032629D"/>
    <w:rsid w:val="003265EA"/>
    <w:rsid w:val="00331B5D"/>
    <w:rsid w:val="00332734"/>
    <w:rsid w:val="003329F2"/>
    <w:rsid w:val="00334EE3"/>
    <w:rsid w:val="00335193"/>
    <w:rsid w:val="00335650"/>
    <w:rsid w:val="003360ED"/>
    <w:rsid w:val="003376D3"/>
    <w:rsid w:val="00337A0B"/>
    <w:rsid w:val="00337ACE"/>
    <w:rsid w:val="00342949"/>
    <w:rsid w:val="00344E29"/>
    <w:rsid w:val="0034721E"/>
    <w:rsid w:val="00347274"/>
    <w:rsid w:val="003476F5"/>
    <w:rsid w:val="00350AA4"/>
    <w:rsid w:val="00350E73"/>
    <w:rsid w:val="00351351"/>
    <w:rsid w:val="00351CEA"/>
    <w:rsid w:val="003523FF"/>
    <w:rsid w:val="00352578"/>
    <w:rsid w:val="00352814"/>
    <w:rsid w:val="00354487"/>
    <w:rsid w:val="00355146"/>
    <w:rsid w:val="00357260"/>
    <w:rsid w:val="003601FA"/>
    <w:rsid w:val="00361387"/>
    <w:rsid w:val="003613D8"/>
    <w:rsid w:val="0036312E"/>
    <w:rsid w:val="0036347A"/>
    <w:rsid w:val="0036446D"/>
    <w:rsid w:val="0036505C"/>
    <w:rsid w:val="00365934"/>
    <w:rsid w:val="0036742F"/>
    <w:rsid w:val="003724E4"/>
    <w:rsid w:val="00372510"/>
    <w:rsid w:val="003751F0"/>
    <w:rsid w:val="00376103"/>
    <w:rsid w:val="0037627D"/>
    <w:rsid w:val="00376924"/>
    <w:rsid w:val="00380385"/>
    <w:rsid w:val="00380F7B"/>
    <w:rsid w:val="003816D7"/>
    <w:rsid w:val="00383980"/>
    <w:rsid w:val="00383A8B"/>
    <w:rsid w:val="003847CA"/>
    <w:rsid w:val="00385A52"/>
    <w:rsid w:val="00385F5F"/>
    <w:rsid w:val="0038636F"/>
    <w:rsid w:val="00387839"/>
    <w:rsid w:val="003910FE"/>
    <w:rsid w:val="0039156F"/>
    <w:rsid w:val="003916BD"/>
    <w:rsid w:val="00391E81"/>
    <w:rsid w:val="00392254"/>
    <w:rsid w:val="00394DCC"/>
    <w:rsid w:val="00396F91"/>
    <w:rsid w:val="003A2CF5"/>
    <w:rsid w:val="003A409E"/>
    <w:rsid w:val="003A5745"/>
    <w:rsid w:val="003A5DBF"/>
    <w:rsid w:val="003A67A7"/>
    <w:rsid w:val="003A7B72"/>
    <w:rsid w:val="003A7D3D"/>
    <w:rsid w:val="003B1A2F"/>
    <w:rsid w:val="003B200C"/>
    <w:rsid w:val="003B218E"/>
    <w:rsid w:val="003B38D8"/>
    <w:rsid w:val="003B4C16"/>
    <w:rsid w:val="003B5D95"/>
    <w:rsid w:val="003B6D86"/>
    <w:rsid w:val="003C044E"/>
    <w:rsid w:val="003C10A2"/>
    <w:rsid w:val="003C30D9"/>
    <w:rsid w:val="003C3B92"/>
    <w:rsid w:val="003D2107"/>
    <w:rsid w:val="003D3540"/>
    <w:rsid w:val="003D36A3"/>
    <w:rsid w:val="003D3E50"/>
    <w:rsid w:val="003D5031"/>
    <w:rsid w:val="003D58AF"/>
    <w:rsid w:val="003D5927"/>
    <w:rsid w:val="003D7863"/>
    <w:rsid w:val="003E2FCB"/>
    <w:rsid w:val="003E4713"/>
    <w:rsid w:val="003E4DB9"/>
    <w:rsid w:val="003E5241"/>
    <w:rsid w:val="003E5B85"/>
    <w:rsid w:val="003E62E5"/>
    <w:rsid w:val="003E6FF6"/>
    <w:rsid w:val="003F0EB9"/>
    <w:rsid w:val="003F1277"/>
    <w:rsid w:val="003F2B6D"/>
    <w:rsid w:val="003F334B"/>
    <w:rsid w:val="003F3F50"/>
    <w:rsid w:val="003F4AE2"/>
    <w:rsid w:val="003F5A77"/>
    <w:rsid w:val="003F5E0D"/>
    <w:rsid w:val="003F6066"/>
    <w:rsid w:val="003F660B"/>
    <w:rsid w:val="003F7951"/>
    <w:rsid w:val="00401B30"/>
    <w:rsid w:val="00401D40"/>
    <w:rsid w:val="00402B76"/>
    <w:rsid w:val="00402FC6"/>
    <w:rsid w:val="00403BA4"/>
    <w:rsid w:val="00405C12"/>
    <w:rsid w:val="00406385"/>
    <w:rsid w:val="004072C3"/>
    <w:rsid w:val="00410AF7"/>
    <w:rsid w:val="0041279C"/>
    <w:rsid w:val="00414EB4"/>
    <w:rsid w:val="00415B6B"/>
    <w:rsid w:val="00416D24"/>
    <w:rsid w:val="004176C3"/>
    <w:rsid w:val="0042123C"/>
    <w:rsid w:val="00422263"/>
    <w:rsid w:val="0042420C"/>
    <w:rsid w:val="0042488D"/>
    <w:rsid w:val="00424997"/>
    <w:rsid w:val="00425986"/>
    <w:rsid w:val="00425A41"/>
    <w:rsid w:val="00426C9E"/>
    <w:rsid w:val="004273F4"/>
    <w:rsid w:val="004328A7"/>
    <w:rsid w:val="0043316C"/>
    <w:rsid w:val="0043644B"/>
    <w:rsid w:val="00441651"/>
    <w:rsid w:val="00443445"/>
    <w:rsid w:val="00443F74"/>
    <w:rsid w:val="0044572E"/>
    <w:rsid w:val="00446952"/>
    <w:rsid w:val="004513C7"/>
    <w:rsid w:val="0045154F"/>
    <w:rsid w:val="00456E03"/>
    <w:rsid w:val="00460539"/>
    <w:rsid w:val="004652F2"/>
    <w:rsid w:val="00466AA6"/>
    <w:rsid w:val="00466E7F"/>
    <w:rsid w:val="004678D9"/>
    <w:rsid w:val="00470F29"/>
    <w:rsid w:val="00471D46"/>
    <w:rsid w:val="004730CF"/>
    <w:rsid w:val="00473A3F"/>
    <w:rsid w:val="00476283"/>
    <w:rsid w:val="00476E15"/>
    <w:rsid w:val="00477FCF"/>
    <w:rsid w:val="00482920"/>
    <w:rsid w:val="004830F8"/>
    <w:rsid w:val="00483172"/>
    <w:rsid w:val="00483D49"/>
    <w:rsid w:val="0048546A"/>
    <w:rsid w:val="00485997"/>
    <w:rsid w:val="00485E8B"/>
    <w:rsid w:val="004863DF"/>
    <w:rsid w:val="00486C27"/>
    <w:rsid w:val="004903DF"/>
    <w:rsid w:val="00490B2B"/>
    <w:rsid w:val="00491DA7"/>
    <w:rsid w:val="004928D5"/>
    <w:rsid w:val="00493297"/>
    <w:rsid w:val="00495350"/>
    <w:rsid w:val="00495946"/>
    <w:rsid w:val="00496B61"/>
    <w:rsid w:val="00497111"/>
    <w:rsid w:val="00497945"/>
    <w:rsid w:val="004A0691"/>
    <w:rsid w:val="004A1332"/>
    <w:rsid w:val="004A1AF0"/>
    <w:rsid w:val="004A23C2"/>
    <w:rsid w:val="004A2A57"/>
    <w:rsid w:val="004A4D3C"/>
    <w:rsid w:val="004A5B1E"/>
    <w:rsid w:val="004A65DC"/>
    <w:rsid w:val="004A6A67"/>
    <w:rsid w:val="004A7744"/>
    <w:rsid w:val="004B083B"/>
    <w:rsid w:val="004B0BA0"/>
    <w:rsid w:val="004B13BD"/>
    <w:rsid w:val="004B1EFB"/>
    <w:rsid w:val="004B1FE8"/>
    <w:rsid w:val="004B257F"/>
    <w:rsid w:val="004B25B1"/>
    <w:rsid w:val="004B447E"/>
    <w:rsid w:val="004B545A"/>
    <w:rsid w:val="004B6C50"/>
    <w:rsid w:val="004B7332"/>
    <w:rsid w:val="004B73A7"/>
    <w:rsid w:val="004B77B8"/>
    <w:rsid w:val="004C0276"/>
    <w:rsid w:val="004C212E"/>
    <w:rsid w:val="004C2297"/>
    <w:rsid w:val="004C2E2D"/>
    <w:rsid w:val="004C4578"/>
    <w:rsid w:val="004C53EB"/>
    <w:rsid w:val="004C55E5"/>
    <w:rsid w:val="004D1618"/>
    <w:rsid w:val="004D21D0"/>
    <w:rsid w:val="004D2241"/>
    <w:rsid w:val="004D2DE3"/>
    <w:rsid w:val="004D2FA1"/>
    <w:rsid w:val="004D4725"/>
    <w:rsid w:val="004D52A2"/>
    <w:rsid w:val="004D66B3"/>
    <w:rsid w:val="004E0AD9"/>
    <w:rsid w:val="004E6C4D"/>
    <w:rsid w:val="004E74C3"/>
    <w:rsid w:val="004E7A77"/>
    <w:rsid w:val="004F03AA"/>
    <w:rsid w:val="004F03E5"/>
    <w:rsid w:val="004F2B32"/>
    <w:rsid w:val="004F2D49"/>
    <w:rsid w:val="004F2E49"/>
    <w:rsid w:val="004F368D"/>
    <w:rsid w:val="004F49DE"/>
    <w:rsid w:val="004F5D41"/>
    <w:rsid w:val="004F6B1F"/>
    <w:rsid w:val="004F6C57"/>
    <w:rsid w:val="004F7BCC"/>
    <w:rsid w:val="00500421"/>
    <w:rsid w:val="005017F7"/>
    <w:rsid w:val="00503249"/>
    <w:rsid w:val="00504481"/>
    <w:rsid w:val="005044C6"/>
    <w:rsid w:val="00507287"/>
    <w:rsid w:val="0051065D"/>
    <w:rsid w:val="005107E0"/>
    <w:rsid w:val="00511254"/>
    <w:rsid w:val="00512960"/>
    <w:rsid w:val="00513E1D"/>
    <w:rsid w:val="00513EF5"/>
    <w:rsid w:val="005153C7"/>
    <w:rsid w:val="00516D09"/>
    <w:rsid w:val="00520A5A"/>
    <w:rsid w:val="00520B81"/>
    <w:rsid w:val="00521FD4"/>
    <w:rsid w:val="00524C4C"/>
    <w:rsid w:val="00524DB1"/>
    <w:rsid w:val="005252F0"/>
    <w:rsid w:val="00531347"/>
    <w:rsid w:val="00533324"/>
    <w:rsid w:val="00535AE8"/>
    <w:rsid w:val="005363FC"/>
    <w:rsid w:val="00537071"/>
    <w:rsid w:val="00540BC7"/>
    <w:rsid w:val="0054173A"/>
    <w:rsid w:val="00542E94"/>
    <w:rsid w:val="00544C5D"/>
    <w:rsid w:val="00545313"/>
    <w:rsid w:val="00545F8A"/>
    <w:rsid w:val="00546452"/>
    <w:rsid w:val="005465EB"/>
    <w:rsid w:val="00546677"/>
    <w:rsid w:val="00553F58"/>
    <w:rsid w:val="00553FDA"/>
    <w:rsid w:val="0055736E"/>
    <w:rsid w:val="00560F18"/>
    <w:rsid w:val="005611B3"/>
    <w:rsid w:val="00561B7D"/>
    <w:rsid w:val="00563E5D"/>
    <w:rsid w:val="0056475F"/>
    <w:rsid w:val="00565FD7"/>
    <w:rsid w:val="005665D9"/>
    <w:rsid w:val="00566861"/>
    <w:rsid w:val="00566ABB"/>
    <w:rsid w:val="00566CF3"/>
    <w:rsid w:val="00567189"/>
    <w:rsid w:val="005736DE"/>
    <w:rsid w:val="00573726"/>
    <w:rsid w:val="00575757"/>
    <w:rsid w:val="00577436"/>
    <w:rsid w:val="005775CF"/>
    <w:rsid w:val="00577FF1"/>
    <w:rsid w:val="005801E6"/>
    <w:rsid w:val="00580370"/>
    <w:rsid w:val="00580564"/>
    <w:rsid w:val="00581B7E"/>
    <w:rsid w:val="00581C40"/>
    <w:rsid w:val="00581E85"/>
    <w:rsid w:val="00582212"/>
    <w:rsid w:val="005826E1"/>
    <w:rsid w:val="00582914"/>
    <w:rsid w:val="00582C6D"/>
    <w:rsid w:val="00584117"/>
    <w:rsid w:val="005859F7"/>
    <w:rsid w:val="00587998"/>
    <w:rsid w:val="00590228"/>
    <w:rsid w:val="00591AE7"/>
    <w:rsid w:val="00591B57"/>
    <w:rsid w:val="00591C89"/>
    <w:rsid w:val="005935F6"/>
    <w:rsid w:val="00595418"/>
    <w:rsid w:val="00595FBC"/>
    <w:rsid w:val="005964B1"/>
    <w:rsid w:val="00597860"/>
    <w:rsid w:val="00597A7A"/>
    <w:rsid w:val="005A0387"/>
    <w:rsid w:val="005A05E6"/>
    <w:rsid w:val="005A114F"/>
    <w:rsid w:val="005A232E"/>
    <w:rsid w:val="005A3324"/>
    <w:rsid w:val="005A3712"/>
    <w:rsid w:val="005A4F49"/>
    <w:rsid w:val="005A5164"/>
    <w:rsid w:val="005A572E"/>
    <w:rsid w:val="005A6F64"/>
    <w:rsid w:val="005A71D9"/>
    <w:rsid w:val="005A7F6E"/>
    <w:rsid w:val="005B05E4"/>
    <w:rsid w:val="005B1886"/>
    <w:rsid w:val="005B1D3A"/>
    <w:rsid w:val="005B2797"/>
    <w:rsid w:val="005B4BF4"/>
    <w:rsid w:val="005B5489"/>
    <w:rsid w:val="005B5D40"/>
    <w:rsid w:val="005B6C50"/>
    <w:rsid w:val="005B74D7"/>
    <w:rsid w:val="005B786A"/>
    <w:rsid w:val="005B7EC0"/>
    <w:rsid w:val="005C09C5"/>
    <w:rsid w:val="005C18A8"/>
    <w:rsid w:val="005C69E0"/>
    <w:rsid w:val="005D1ABA"/>
    <w:rsid w:val="005D2C8B"/>
    <w:rsid w:val="005D2D3F"/>
    <w:rsid w:val="005D3FAB"/>
    <w:rsid w:val="005D43C4"/>
    <w:rsid w:val="005D47B4"/>
    <w:rsid w:val="005D5203"/>
    <w:rsid w:val="005D667B"/>
    <w:rsid w:val="005D68D9"/>
    <w:rsid w:val="005E076E"/>
    <w:rsid w:val="005E0D94"/>
    <w:rsid w:val="005E1197"/>
    <w:rsid w:val="005E1636"/>
    <w:rsid w:val="005E22E0"/>
    <w:rsid w:val="005E31B7"/>
    <w:rsid w:val="005E39E7"/>
    <w:rsid w:val="005E51C9"/>
    <w:rsid w:val="005E632E"/>
    <w:rsid w:val="005E7884"/>
    <w:rsid w:val="005E7B9B"/>
    <w:rsid w:val="005E7F8A"/>
    <w:rsid w:val="005F1F15"/>
    <w:rsid w:val="005F479A"/>
    <w:rsid w:val="005F54F3"/>
    <w:rsid w:val="005F577F"/>
    <w:rsid w:val="005F58E0"/>
    <w:rsid w:val="005F7EA3"/>
    <w:rsid w:val="00600C93"/>
    <w:rsid w:val="00602EC9"/>
    <w:rsid w:val="00604222"/>
    <w:rsid w:val="006055AD"/>
    <w:rsid w:val="00606BB7"/>
    <w:rsid w:val="00610233"/>
    <w:rsid w:val="00610487"/>
    <w:rsid w:val="00611651"/>
    <w:rsid w:val="006127C8"/>
    <w:rsid w:val="00613853"/>
    <w:rsid w:val="00613D96"/>
    <w:rsid w:val="0061443D"/>
    <w:rsid w:val="00614BAE"/>
    <w:rsid w:val="00615186"/>
    <w:rsid w:val="0061667C"/>
    <w:rsid w:val="00616F25"/>
    <w:rsid w:val="00617A67"/>
    <w:rsid w:val="006218DC"/>
    <w:rsid w:val="0062390D"/>
    <w:rsid w:val="00623A24"/>
    <w:rsid w:val="00624323"/>
    <w:rsid w:val="00626061"/>
    <w:rsid w:val="0062609A"/>
    <w:rsid w:val="00626F02"/>
    <w:rsid w:val="0063155C"/>
    <w:rsid w:val="006320ED"/>
    <w:rsid w:val="0063293A"/>
    <w:rsid w:val="00635A0E"/>
    <w:rsid w:val="00635C90"/>
    <w:rsid w:val="006367E1"/>
    <w:rsid w:val="006369DE"/>
    <w:rsid w:val="00636DFF"/>
    <w:rsid w:val="00640794"/>
    <w:rsid w:val="0064139C"/>
    <w:rsid w:val="00641D9C"/>
    <w:rsid w:val="00644138"/>
    <w:rsid w:val="006513FD"/>
    <w:rsid w:val="00651766"/>
    <w:rsid w:val="00652BAC"/>
    <w:rsid w:val="00653C9C"/>
    <w:rsid w:val="00654E25"/>
    <w:rsid w:val="00656B6C"/>
    <w:rsid w:val="00661AD8"/>
    <w:rsid w:val="00664016"/>
    <w:rsid w:val="00664F27"/>
    <w:rsid w:val="00665421"/>
    <w:rsid w:val="00666521"/>
    <w:rsid w:val="006700CC"/>
    <w:rsid w:val="006711BB"/>
    <w:rsid w:val="0067322C"/>
    <w:rsid w:val="006741B2"/>
    <w:rsid w:val="006746DC"/>
    <w:rsid w:val="00675AF0"/>
    <w:rsid w:val="00675F40"/>
    <w:rsid w:val="00677878"/>
    <w:rsid w:val="00677B05"/>
    <w:rsid w:val="006815E6"/>
    <w:rsid w:val="00681E28"/>
    <w:rsid w:val="00682E6E"/>
    <w:rsid w:val="006830C2"/>
    <w:rsid w:val="00683A8B"/>
    <w:rsid w:val="00684042"/>
    <w:rsid w:val="00684454"/>
    <w:rsid w:val="006846E8"/>
    <w:rsid w:val="00685CE4"/>
    <w:rsid w:val="0068670F"/>
    <w:rsid w:val="006874E3"/>
    <w:rsid w:val="00690672"/>
    <w:rsid w:val="00691113"/>
    <w:rsid w:val="0069184F"/>
    <w:rsid w:val="00691CDF"/>
    <w:rsid w:val="006933CE"/>
    <w:rsid w:val="00693B5F"/>
    <w:rsid w:val="00694F6F"/>
    <w:rsid w:val="0069649E"/>
    <w:rsid w:val="006A052A"/>
    <w:rsid w:val="006A0ECD"/>
    <w:rsid w:val="006A1BBE"/>
    <w:rsid w:val="006A271B"/>
    <w:rsid w:val="006A3D25"/>
    <w:rsid w:val="006A4699"/>
    <w:rsid w:val="006A48B6"/>
    <w:rsid w:val="006A4FA7"/>
    <w:rsid w:val="006A5EBE"/>
    <w:rsid w:val="006A7BC2"/>
    <w:rsid w:val="006B0CCA"/>
    <w:rsid w:val="006B2021"/>
    <w:rsid w:val="006B3E23"/>
    <w:rsid w:val="006B3F0C"/>
    <w:rsid w:val="006B6074"/>
    <w:rsid w:val="006B70BF"/>
    <w:rsid w:val="006B7695"/>
    <w:rsid w:val="006C0634"/>
    <w:rsid w:val="006C33E2"/>
    <w:rsid w:val="006C44E5"/>
    <w:rsid w:val="006C4F37"/>
    <w:rsid w:val="006C69A9"/>
    <w:rsid w:val="006C7533"/>
    <w:rsid w:val="006C7944"/>
    <w:rsid w:val="006D02D5"/>
    <w:rsid w:val="006D0760"/>
    <w:rsid w:val="006D0798"/>
    <w:rsid w:val="006D131E"/>
    <w:rsid w:val="006D1CB5"/>
    <w:rsid w:val="006D3710"/>
    <w:rsid w:val="006D3BB6"/>
    <w:rsid w:val="006D4D38"/>
    <w:rsid w:val="006D5436"/>
    <w:rsid w:val="006D7FD9"/>
    <w:rsid w:val="006E0571"/>
    <w:rsid w:val="006E0E4F"/>
    <w:rsid w:val="006E1557"/>
    <w:rsid w:val="006E2C57"/>
    <w:rsid w:val="006E2E17"/>
    <w:rsid w:val="006E3A7B"/>
    <w:rsid w:val="006E410A"/>
    <w:rsid w:val="006E41FC"/>
    <w:rsid w:val="006E6529"/>
    <w:rsid w:val="006E6B4D"/>
    <w:rsid w:val="006F1048"/>
    <w:rsid w:val="006F210B"/>
    <w:rsid w:val="006F230A"/>
    <w:rsid w:val="006F4853"/>
    <w:rsid w:val="006F48C6"/>
    <w:rsid w:val="006F50CF"/>
    <w:rsid w:val="006F57A2"/>
    <w:rsid w:val="006F741C"/>
    <w:rsid w:val="00700311"/>
    <w:rsid w:val="00700A96"/>
    <w:rsid w:val="00700B19"/>
    <w:rsid w:val="00702967"/>
    <w:rsid w:val="00705572"/>
    <w:rsid w:val="00705DC7"/>
    <w:rsid w:val="007062FE"/>
    <w:rsid w:val="0070694F"/>
    <w:rsid w:val="007078F8"/>
    <w:rsid w:val="007103AF"/>
    <w:rsid w:val="00712383"/>
    <w:rsid w:val="00713FC9"/>
    <w:rsid w:val="00714574"/>
    <w:rsid w:val="0071482B"/>
    <w:rsid w:val="00714999"/>
    <w:rsid w:val="007172DF"/>
    <w:rsid w:val="007172F6"/>
    <w:rsid w:val="00720CFB"/>
    <w:rsid w:val="00721757"/>
    <w:rsid w:val="007222F8"/>
    <w:rsid w:val="00722E24"/>
    <w:rsid w:val="007249DE"/>
    <w:rsid w:val="007272CD"/>
    <w:rsid w:val="00727E1F"/>
    <w:rsid w:val="00727FDC"/>
    <w:rsid w:val="00727FE2"/>
    <w:rsid w:val="00730445"/>
    <w:rsid w:val="0073086B"/>
    <w:rsid w:val="0073336C"/>
    <w:rsid w:val="00733C2F"/>
    <w:rsid w:val="0073429B"/>
    <w:rsid w:val="00734A99"/>
    <w:rsid w:val="00734BDF"/>
    <w:rsid w:val="0073740D"/>
    <w:rsid w:val="0074152D"/>
    <w:rsid w:val="00741C4C"/>
    <w:rsid w:val="00742975"/>
    <w:rsid w:val="00744447"/>
    <w:rsid w:val="00745149"/>
    <w:rsid w:val="007464E9"/>
    <w:rsid w:val="007477D5"/>
    <w:rsid w:val="0075044A"/>
    <w:rsid w:val="007524F1"/>
    <w:rsid w:val="007540A0"/>
    <w:rsid w:val="007557C6"/>
    <w:rsid w:val="007577C2"/>
    <w:rsid w:val="00757A9D"/>
    <w:rsid w:val="00757B0B"/>
    <w:rsid w:val="00761E63"/>
    <w:rsid w:val="007622CC"/>
    <w:rsid w:val="00762986"/>
    <w:rsid w:val="00762D1E"/>
    <w:rsid w:val="00763A78"/>
    <w:rsid w:val="00764AA4"/>
    <w:rsid w:val="007654F3"/>
    <w:rsid w:val="00765DDF"/>
    <w:rsid w:val="00765F48"/>
    <w:rsid w:val="00766D3F"/>
    <w:rsid w:val="00766ECD"/>
    <w:rsid w:val="00766FD0"/>
    <w:rsid w:val="007708B5"/>
    <w:rsid w:val="00772D6C"/>
    <w:rsid w:val="00774054"/>
    <w:rsid w:val="007740AC"/>
    <w:rsid w:val="00775A1E"/>
    <w:rsid w:val="00775FB9"/>
    <w:rsid w:val="00776F7A"/>
    <w:rsid w:val="007777DA"/>
    <w:rsid w:val="00780CA2"/>
    <w:rsid w:val="00781580"/>
    <w:rsid w:val="00783363"/>
    <w:rsid w:val="00783F1A"/>
    <w:rsid w:val="00784BE7"/>
    <w:rsid w:val="00784C53"/>
    <w:rsid w:val="00786B19"/>
    <w:rsid w:val="0078744F"/>
    <w:rsid w:val="007914C2"/>
    <w:rsid w:val="0079231B"/>
    <w:rsid w:val="0079394B"/>
    <w:rsid w:val="00796050"/>
    <w:rsid w:val="0079710D"/>
    <w:rsid w:val="007974D4"/>
    <w:rsid w:val="007A01DC"/>
    <w:rsid w:val="007A1634"/>
    <w:rsid w:val="007A1721"/>
    <w:rsid w:val="007A23E1"/>
    <w:rsid w:val="007A3B66"/>
    <w:rsid w:val="007A509B"/>
    <w:rsid w:val="007A68E2"/>
    <w:rsid w:val="007A69E9"/>
    <w:rsid w:val="007A7FE6"/>
    <w:rsid w:val="007B1AF2"/>
    <w:rsid w:val="007B1CFE"/>
    <w:rsid w:val="007B3D76"/>
    <w:rsid w:val="007B66BB"/>
    <w:rsid w:val="007B7C88"/>
    <w:rsid w:val="007C0B47"/>
    <w:rsid w:val="007C1370"/>
    <w:rsid w:val="007C337F"/>
    <w:rsid w:val="007C34BF"/>
    <w:rsid w:val="007C389A"/>
    <w:rsid w:val="007C4C41"/>
    <w:rsid w:val="007C5312"/>
    <w:rsid w:val="007C66E6"/>
    <w:rsid w:val="007D064E"/>
    <w:rsid w:val="007D12CB"/>
    <w:rsid w:val="007D1F41"/>
    <w:rsid w:val="007D3714"/>
    <w:rsid w:val="007E0F63"/>
    <w:rsid w:val="007E148F"/>
    <w:rsid w:val="007E5233"/>
    <w:rsid w:val="007E73F5"/>
    <w:rsid w:val="007F05E0"/>
    <w:rsid w:val="007F15C7"/>
    <w:rsid w:val="007F2822"/>
    <w:rsid w:val="007F3B78"/>
    <w:rsid w:val="007F729B"/>
    <w:rsid w:val="007F7D70"/>
    <w:rsid w:val="0080039F"/>
    <w:rsid w:val="00802C4F"/>
    <w:rsid w:val="00805008"/>
    <w:rsid w:val="008053F2"/>
    <w:rsid w:val="0080557A"/>
    <w:rsid w:val="0080604D"/>
    <w:rsid w:val="00806072"/>
    <w:rsid w:val="008066CB"/>
    <w:rsid w:val="008072E1"/>
    <w:rsid w:val="0080761B"/>
    <w:rsid w:val="00807836"/>
    <w:rsid w:val="00807FE3"/>
    <w:rsid w:val="008116B1"/>
    <w:rsid w:val="00812833"/>
    <w:rsid w:val="00814CA0"/>
    <w:rsid w:val="00814DBE"/>
    <w:rsid w:val="008158C1"/>
    <w:rsid w:val="0081621E"/>
    <w:rsid w:val="00816406"/>
    <w:rsid w:val="0081764D"/>
    <w:rsid w:val="00817BA4"/>
    <w:rsid w:val="00821C29"/>
    <w:rsid w:val="0082250F"/>
    <w:rsid w:val="00823F92"/>
    <w:rsid w:val="008253BC"/>
    <w:rsid w:val="008257B8"/>
    <w:rsid w:val="00825CC1"/>
    <w:rsid w:val="0082633F"/>
    <w:rsid w:val="00826682"/>
    <w:rsid w:val="00827743"/>
    <w:rsid w:val="00830F2C"/>
    <w:rsid w:val="008316CE"/>
    <w:rsid w:val="00831A72"/>
    <w:rsid w:val="00831C83"/>
    <w:rsid w:val="008323C9"/>
    <w:rsid w:val="00832FDC"/>
    <w:rsid w:val="008331C4"/>
    <w:rsid w:val="008349AF"/>
    <w:rsid w:val="0083643A"/>
    <w:rsid w:val="008373C9"/>
    <w:rsid w:val="0084040D"/>
    <w:rsid w:val="0084101A"/>
    <w:rsid w:val="00843396"/>
    <w:rsid w:val="008441B9"/>
    <w:rsid w:val="00844826"/>
    <w:rsid w:val="0084605B"/>
    <w:rsid w:val="00846DF8"/>
    <w:rsid w:val="00846E66"/>
    <w:rsid w:val="00850507"/>
    <w:rsid w:val="008508CD"/>
    <w:rsid w:val="00851A58"/>
    <w:rsid w:val="00852ACF"/>
    <w:rsid w:val="00855904"/>
    <w:rsid w:val="00857696"/>
    <w:rsid w:val="008614CB"/>
    <w:rsid w:val="00861887"/>
    <w:rsid w:val="008619F5"/>
    <w:rsid w:val="00862A1B"/>
    <w:rsid w:val="008631B8"/>
    <w:rsid w:val="00864CB2"/>
    <w:rsid w:val="00870781"/>
    <w:rsid w:val="0087177A"/>
    <w:rsid w:val="00874AEE"/>
    <w:rsid w:val="00874DA2"/>
    <w:rsid w:val="00875589"/>
    <w:rsid w:val="008774E2"/>
    <w:rsid w:val="0088007E"/>
    <w:rsid w:val="00881BCB"/>
    <w:rsid w:val="00881D0D"/>
    <w:rsid w:val="00881D5D"/>
    <w:rsid w:val="00881DAD"/>
    <w:rsid w:val="00883718"/>
    <w:rsid w:val="008845FD"/>
    <w:rsid w:val="008856B7"/>
    <w:rsid w:val="0088594F"/>
    <w:rsid w:val="00885F36"/>
    <w:rsid w:val="00886034"/>
    <w:rsid w:val="00886A44"/>
    <w:rsid w:val="008874EB"/>
    <w:rsid w:val="008876D9"/>
    <w:rsid w:val="00890303"/>
    <w:rsid w:val="008903E0"/>
    <w:rsid w:val="00890409"/>
    <w:rsid w:val="008907CA"/>
    <w:rsid w:val="00892B2A"/>
    <w:rsid w:val="00894473"/>
    <w:rsid w:val="008953C2"/>
    <w:rsid w:val="008956BB"/>
    <w:rsid w:val="00897D9C"/>
    <w:rsid w:val="008A0729"/>
    <w:rsid w:val="008A0AA6"/>
    <w:rsid w:val="008A0ECC"/>
    <w:rsid w:val="008A35C4"/>
    <w:rsid w:val="008A466E"/>
    <w:rsid w:val="008A48CB"/>
    <w:rsid w:val="008B06EF"/>
    <w:rsid w:val="008B0D40"/>
    <w:rsid w:val="008B3674"/>
    <w:rsid w:val="008B6086"/>
    <w:rsid w:val="008B729F"/>
    <w:rsid w:val="008B7AB0"/>
    <w:rsid w:val="008C0173"/>
    <w:rsid w:val="008C0783"/>
    <w:rsid w:val="008C087D"/>
    <w:rsid w:val="008C2534"/>
    <w:rsid w:val="008C2616"/>
    <w:rsid w:val="008C280F"/>
    <w:rsid w:val="008D054C"/>
    <w:rsid w:val="008D0552"/>
    <w:rsid w:val="008D454B"/>
    <w:rsid w:val="008D5497"/>
    <w:rsid w:val="008D79EF"/>
    <w:rsid w:val="008E08E6"/>
    <w:rsid w:val="008E0D60"/>
    <w:rsid w:val="008E1F8A"/>
    <w:rsid w:val="008E21F7"/>
    <w:rsid w:val="008E6E7B"/>
    <w:rsid w:val="008E79B4"/>
    <w:rsid w:val="008E7B59"/>
    <w:rsid w:val="008F04A6"/>
    <w:rsid w:val="008F10A8"/>
    <w:rsid w:val="008F1353"/>
    <w:rsid w:val="008F264F"/>
    <w:rsid w:val="008F27A3"/>
    <w:rsid w:val="008F4624"/>
    <w:rsid w:val="008F56D1"/>
    <w:rsid w:val="008F7E93"/>
    <w:rsid w:val="008F7ED5"/>
    <w:rsid w:val="00900332"/>
    <w:rsid w:val="0090067B"/>
    <w:rsid w:val="00902AE7"/>
    <w:rsid w:val="00902EB3"/>
    <w:rsid w:val="00903A26"/>
    <w:rsid w:val="00903A62"/>
    <w:rsid w:val="00903BA1"/>
    <w:rsid w:val="00905231"/>
    <w:rsid w:val="00905431"/>
    <w:rsid w:val="00905C1F"/>
    <w:rsid w:val="0090675E"/>
    <w:rsid w:val="009078AE"/>
    <w:rsid w:val="009100CF"/>
    <w:rsid w:val="00910C21"/>
    <w:rsid w:val="009126B8"/>
    <w:rsid w:val="009127D0"/>
    <w:rsid w:val="00913331"/>
    <w:rsid w:val="00913F62"/>
    <w:rsid w:val="00914427"/>
    <w:rsid w:val="009149D7"/>
    <w:rsid w:val="00915AE6"/>
    <w:rsid w:val="00916C54"/>
    <w:rsid w:val="0091781F"/>
    <w:rsid w:val="009200A6"/>
    <w:rsid w:val="00921065"/>
    <w:rsid w:val="00921ED7"/>
    <w:rsid w:val="00922A33"/>
    <w:rsid w:val="00924053"/>
    <w:rsid w:val="0092427D"/>
    <w:rsid w:val="00924DF3"/>
    <w:rsid w:val="00925483"/>
    <w:rsid w:val="009259F4"/>
    <w:rsid w:val="009263F1"/>
    <w:rsid w:val="00926662"/>
    <w:rsid w:val="00927304"/>
    <w:rsid w:val="009276F5"/>
    <w:rsid w:val="0092793C"/>
    <w:rsid w:val="00927AF3"/>
    <w:rsid w:val="0093319F"/>
    <w:rsid w:val="009331AE"/>
    <w:rsid w:val="009332F8"/>
    <w:rsid w:val="0093488A"/>
    <w:rsid w:val="00935402"/>
    <w:rsid w:val="0093559B"/>
    <w:rsid w:val="00935CE4"/>
    <w:rsid w:val="00937517"/>
    <w:rsid w:val="00940058"/>
    <w:rsid w:val="00940B17"/>
    <w:rsid w:val="00941A56"/>
    <w:rsid w:val="009427AB"/>
    <w:rsid w:val="00942AD4"/>
    <w:rsid w:val="00942BA8"/>
    <w:rsid w:val="00943086"/>
    <w:rsid w:val="0094353B"/>
    <w:rsid w:val="009449F3"/>
    <w:rsid w:val="00947431"/>
    <w:rsid w:val="0095064F"/>
    <w:rsid w:val="00952214"/>
    <w:rsid w:val="00953726"/>
    <w:rsid w:val="00954601"/>
    <w:rsid w:val="00955238"/>
    <w:rsid w:val="009554A6"/>
    <w:rsid w:val="00955A47"/>
    <w:rsid w:val="00955B7A"/>
    <w:rsid w:val="0096169D"/>
    <w:rsid w:val="00961D9C"/>
    <w:rsid w:val="00962FB4"/>
    <w:rsid w:val="009643AE"/>
    <w:rsid w:val="00964E20"/>
    <w:rsid w:val="00965922"/>
    <w:rsid w:val="0096645F"/>
    <w:rsid w:val="00970132"/>
    <w:rsid w:val="00970299"/>
    <w:rsid w:val="00970E82"/>
    <w:rsid w:val="00971ACD"/>
    <w:rsid w:val="0097207A"/>
    <w:rsid w:val="00972DA2"/>
    <w:rsid w:val="00974B42"/>
    <w:rsid w:val="00975378"/>
    <w:rsid w:val="0098067E"/>
    <w:rsid w:val="00981B87"/>
    <w:rsid w:val="00982AD5"/>
    <w:rsid w:val="00984634"/>
    <w:rsid w:val="0098556C"/>
    <w:rsid w:val="009870B8"/>
    <w:rsid w:val="00987B1A"/>
    <w:rsid w:val="00987BF9"/>
    <w:rsid w:val="00991556"/>
    <w:rsid w:val="009920E9"/>
    <w:rsid w:val="00992ED0"/>
    <w:rsid w:val="009937D7"/>
    <w:rsid w:val="00995529"/>
    <w:rsid w:val="00996CF0"/>
    <w:rsid w:val="009A30FC"/>
    <w:rsid w:val="009A353D"/>
    <w:rsid w:val="009A3BAB"/>
    <w:rsid w:val="009A57DB"/>
    <w:rsid w:val="009A6FDD"/>
    <w:rsid w:val="009A784B"/>
    <w:rsid w:val="009B2EE5"/>
    <w:rsid w:val="009B34FE"/>
    <w:rsid w:val="009B46A8"/>
    <w:rsid w:val="009B557D"/>
    <w:rsid w:val="009B7595"/>
    <w:rsid w:val="009C076B"/>
    <w:rsid w:val="009C2FB6"/>
    <w:rsid w:val="009C6977"/>
    <w:rsid w:val="009D221A"/>
    <w:rsid w:val="009D4AE0"/>
    <w:rsid w:val="009D5C0B"/>
    <w:rsid w:val="009E087A"/>
    <w:rsid w:val="009E1967"/>
    <w:rsid w:val="009E293B"/>
    <w:rsid w:val="009E4ED9"/>
    <w:rsid w:val="009E55F6"/>
    <w:rsid w:val="009E5745"/>
    <w:rsid w:val="009E5CCF"/>
    <w:rsid w:val="009E65BB"/>
    <w:rsid w:val="009F050A"/>
    <w:rsid w:val="009F0ABC"/>
    <w:rsid w:val="009F1788"/>
    <w:rsid w:val="009F52B2"/>
    <w:rsid w:val="009F6356"/>
    <w:rsid w:val="009F71B7"/>
    <w:rsid w:val="009F7680"/>
    <w:rsid w:val="00A001F2"/>
    <w:rsid w:val="00A00336"/>
    <w:rsid w:val="00A005D7"/>
    <w:rsid w:val="00A00894"/>
    <w:rsid w:val="00A01698"/>
    <w:rsid w:val="00A03D7F"/>
    <w:rsid w:val="00A07988"/>
    <w:rsid w:val="00A11D50"/>
    <w:rsid w:val="00A12731"/>
    <w:rsid w:val="00A130E7"/>
    <w:rsid w:val="00A14630"/>
    <w:rsid w:val="00A14C22"/>
    <w:rsid w:val="00A15A76"/>
    <w:rsid w:val="00A166A5"/>
    <w:rsid w:val="00A17298"/>
    <w:rsid w:val="00A175A7"/>
    <w:rsid w:val="00A21596"/>
    <w:rsid w:val="00A2174D"/>
    <w:rsid w:val="00A21DFB"/>
    <w:rsid w:val="00A21ED7"/>
    <w:rsid w:val="00A232CE"/>
    <w:rsid w:val="00A23BC5"/>
    <w:rsid w:val="00A244D8"/>
    <w:rsid w:val="00A24672"/>
    <w:rsid w:val="00A2681B"/>
    <w:rsid w:val="00A27583"/>
    <w:rsid w:val="00A27663"/>
    <w:rsid w:val="00A30451"/>
    <w:rsid w:val="00A31238"/>
    <w:rsid w:val="00A31F23"/>
    <w:rsid w:val="00A32F75"/>
    <w:rsid w:val="00A335F7"/>
    <w:rsid w:val="00A34CD6"/>
    <w:rsid w:val="00A3517F"/>
    <w:rsid w:val="00A37143"/>
    <w:rsid w:val="00A40280"/>
    <w:rsid w:val="00A431D0"/>
    <w:rsid w:val="00A4340B"/>
    <w:rsid w:val="00A43E3C"/>
    <w:rsid w:val="00A43E70"/>
    <w:rsid w:val="00A444A6"/>
    <w:rsid w:val="00A44E08"/>
    <w:rsid w:val="00A45E30"/>
    <w:rsid w:val="00A45E7E"/>
    <w:rsid w:val="00A46FDF"/>
    <w:rsid w:val="00A5076A"/>
    <w:rsid w:val="00A5090F"/>
    <w:rsid w:val="00A52327"/>
    <w:rsid w:val="00A54D4A"/>
    <w:rsid w:val="00A54EF6"/>
    <w:rsid w:val="00A554B8"/>
    <w:rsid w:val="00A55650"/>
    <w:rsid w:val="00A55A4B"/>
    <w:rsid w:val="00A55BE3"/>
    <w:rsid w:val="00A56464"/>
    <w:rsid w:val="00A56AB9"/>
    <w:rsid w:val="00A56F94"/>
    <w:rsid w:val="00A57844"/>
    <w:rsid w:val="00A57BA3"/>
    <w:rsid w:val="00A6075C"/>
    <w:rsid w:val="00A60CAF"/>
    <w:rsid w:val="00A60CE2"/>
    <w:rsid w:val="00A60D9C"/>
    <w:rsid w:val="00A622D5"/>
    <w:rsid w:val="00A631EF"/>
    <w:rsid w:val="00A6378C"/>
    <w:rsid w:val="00A63AD6"/>
    <w:rsid w:val="00A64504"/>
    <w:rsid w:val="00A65F3E"/>
    <w:rsid w:val="00A66C55"/>
    <w:rsid w:val="00A67207"/>
    <w:rsid w:val="00A67863"/>
    <w:rsid w:val="00A67A08"/>
    <w:rsid w:val="00A70298"/>
    <w:rsid w:val="00A713B7"/>
    <w:rsid w:val="00A729CC"/>
    <w:rsid w:val="00A72C62"/>
    <w:rsid w:val="00A73FAC"/>
    <w:rsid w:val="00A767ED"/>
    <w:rsid w:val="00A76EDF"/>
    <w:rsid w:val="00A774C6"/>
    <w:rsid w:val="00A77B8C"/>
    <w:rsid w:val="00A82212"/>
    <w:rsid w:val="00A822C3"/>
    <w:rsid w:val="00A8311E"/>
    <w:rsid w:val="00A839DA"/>
    <w:rsid w:val="00A85089"/>
    <w:rsid w:val="00A850B8"/>
    <w:rsid w:val="00A85429"/>
    <w:rsid w:val="00A8553C"/>
    <w:rsid w:val="00A8554F"/>
    <w:rsid w:val="00A85F7C"/>
    <w:rsid w:val="00A868F0"/>
    <w:rsid w:val="00A86D1C"/>
    <w:rsid w:val="00A90042"/>
    <w:rsid w:val="00A900B5"/>
    <w:rsid w:val="00A92DB2"/>
    <w:rsid w:val="00A93851"/>
    <w:rsid w:val="00A93FBE"/>
    <w:rsid w:val="00A94C41"/>
    <w:rsid w:val="00A97CF3"/>
    <w:rsid w:val="00AA001F"/>
    <w:rsid w:val="00AA0D37"/>
    <w:rsid w:val="00AA1857"/>
    <w:rsid w:val="00AA18B7"/>
    <w:rsid w:val="00AA3995"/>
    <w:rsid w:val="00AA3B4A"/>
    <w:rsid w:val="00AA4445"/>
    <w:rsid w:val="00AA4910"/>
    <w:rsid w:val="00AA4BE7"/>
    <w:rsid w:val="00AA50D4"/>
    <w:rsid w:val="00AA5682"/>
    <w:rsid w:val="00AB125A"/>
    <w:rsid w:val="00AB128E"/>
    <w:rsid w:val="00AB2CD2"/>
    <w:rsid w:val="00AB3254"/>
    <w:rsid w:val="00AB4157"/>
    <w:rsid w:val="00AB488F"/>
    <w:rsid w:val="00AB52AA"/>
    <w:rsid w:val="00AB6A08"/>
    <w:rsid w:val="00AB70DA"/>
    <w:rsid w:val="00AB70F8"/>
    <w:rsid w:val="00AB748E"/>
    <w:rsid w:val="00AC0BE5"/>
    <w:rsid w:val="00AC377B"/>
    <w:rsid w:val="00AC4B7B"/>
    <w:rsid w:val="00AC67DA"/>
    <w:rsid w:val="00AD2832"/>
    <w:rsid w:val="00AD2CE6"/>
    <w:rsid w:val="00AD38C1"/>
    <w:rsid w:val="00AD3F6C"/>
    <w:rsid w:val="00AD4CDB"/>
    <w:rsid w:val="00AD4DDE"/>
    <w:rsid w:val="00AD4F7C"/>
    <w:rsid w:val="00AD5A27"/>
    <w:rsid w:val="00AD5D63"/>
    <w:rsid w:val="00AD5E1D"/>
    <w:rsid w:val="00AD7127"/>
    <w:rsid w:val="00AD7760"/>
    <w:rsid w:val="00AE06B0"/>
    <w:rsid w:val="00AE1005"/>
    <w:rsid w:val="00AE2DB4"/>
    <w:rsid w:val="00AE3365"/>
    <w:rsid w:val="00AE3F63"/>
    <w:rsid w:val="00AE4591"/>
    <w:rsid w:val="00AE58FD"/>
    <w:rsid w:val="00AF02BC"/>
    <w:rsid w:val="00AF02C5"/>
    <w:rsid w:val="00AF20B0"/>
    <w:rsid w:val="00AF2775"/>
    <w:rsid w:val="00AF306B"/>
    <w:rsid w:val="00AF4A94"/>
    <w:rsid w:val="00AF6276"/>
    <w:rsid w:val="00AF75D7"/>
    <w:rsid w:val="00AF7879"/>
    <w:rsid w:val="00B00DCC"/>
    <w:rsid w:val="00B02164"/>
    <w:rsid w:val="00B027B7"/>
    <w:rsid w:val="00B03D1A"/>
    <w:rsid w:val="00B0404C"/>
    <w:rsid w:val="00B042C2"/>
    <w:rsid w:val="00B051A5"/>
    <w:rsid w:val="00B05507"/>
    <w:rsid w:val="00B05B91"/>
    <w:rsid w:val="00B102E8"/>
    <w:rsid w:val="00B1111C"/>
    <w:rsid w:val="00B1387B"/>
    <w:rsid w:val="00B13CDD"/>
    <w:rsid w:val="00B13F83"/>
    <w:rsid w:val="00B14DBF"/>
    <w:rsid w:val="00B15DC2"/>
    <w:rsid w:val="00B16C81"/>
    <w:rsid w:val="00B17BFB"/>
    <w:rsid w:val="00B17F6C"/>
    <w:rsid w:val="00B2031E"/>
    <w:rsid w:val="00B2151A"/>
    <w:rsid w:val="00B21626"/>
    <w:rsid w:val="00B21A4A"/>
    <w:rsid w:val="00B22B37"/>
    <w:rsid w:val="00B2478E"/>
    <w:rsid w:val="00B25888"/>
    <w:rsid w:val="00B259DA"/>
    <w:rsid w:val="00B25AF8"/>
    <w:rsid w:val="00B26597"/>
    <w:rsid w:val="00B269BF"/>
    <w:rsid w:val="00B270C6"/>
    <w:rsid w:val="00B30147"/>
    <w:rsid w:val="00B30807"/>
    <w:rsid w:val="00B313EE"/>
    <w:rsid w:val="00B31AB1"/>
    <w:rsid w:val="00B345D1"/>
    <w:rsid w:val="00B34A8E"/>
    <w:rsid w:val="00B354C6"/>
    <w:rsid w:val="00B35B29"/>
    <w:rsid w:val="00B365BB"/>
    <w:rsid w:val="00B36B15"/>
    <w:rsid w:val="00B40306"/>
    <w:rsid w:val="00B408AF"/>
    <w:rsid w:val="00B428F3"/>
    <w:rsid w:val="00B42A7F"/>
    <w:rsid w:val="00B42B6F"/>
    <w:rsid w:val="00B45083"/>
    <w:rsid w:val="00B464D9"/>
    <w:rsid w:val="00B47D4B"/>
    <w:rsid w:val="00B5060D"/>
    <w:rsid w:val="00B52F91"/>
    <w:rsid w:val="00B53D46"/>
    <w:rsid w:val="00B54625"/>
    <w:rsid w:val="00B54CB2"/>
    <w:rsid w:val="00B561CC"/>
    <w:rsid w:val="00B56C15"/>
    <w:rsid w:val="00B6137A"/>
    <w:rsid w:val="00B62E65"/>
    <w:rsid w:val="00B63404"/>
    <w:rsid w:val="00B64F97"/>
    <w:rsid w:val="00B65D16"/>
    <w:rsid w:val="00B670C3"/>
    <w:rsid w:val="00B6723C"/>
    <w:rsid w:val="00B675E8"/>
    <w:rsid w:val="00B678B5"/>
    <w:rsid w:val="00B70E31"/>
    <w:rsid w:val="00B71C6F"/>
    <w:rsid w:val="00B720A4"/>
    <w:rsid w:val="00B7267D"/>
    <w:rsid w:val="00B74406"/>
    <w:rsid w:val="00B7443E"/>
    <w:rsid w:val="00B75AAE"/>
    <w:rsid w:val="00B75CC6"/>
    <w:rsid w:val="00B761B3"/>
    <w:rsid w:val="00B77303"/>
    <w:rsid w:val="00B8078B"/>
    <w:rsid w:val="00B81183"/>
    <w:rsid w:val="00B81A3B"/>
    <w:rsid w:val="00B82836"/>
    <w:rsid w:val="00B832B0"/>
    <w:rsid w:val="00B83B2C"/>
    <w:rsid w:val="00B84FB2"/>
    <w:rsid w:val="00B85080"/>
    <w:rsid w:val="00B854E5"/>
    <w:rsid w:val="00B87D88"/>
    <w:rsid w:val="00B87F94"/>
    <w:rsid w:val="00B9004F"/>
    <w:rsid w:val="00B902DF"/>
    <w:rsid w:val="00B907E3"/>
    <w:rsid w:val="00B917F9"/>
    <w:rsid w:val="00B93AC4"/>
    <w:rsid w:val="00B95F4E"/>
    <w:rsid w:val="00B97382"/>
    <w:rsid w:val="00B97B17"/>
    <w:rsid w:val="00B97C2A"/>
    <w:rsid w:val="00BA0244"/>
    <w:rsid w:val="00BA17E9"/>
    <w:rsid w:val="00BA1941"/>
    <w:rsid w:val="00BA1B5B"/>
    <w:rsid w:val="00BA2011"/>
    <w:rsid w:val="00BA2493"/>
    <w:rsid w:val="00BA27A6"/>
    <w:rsid w:val="00BA2951"/>
    <w:rsid w:val="00BA4080"/>
    <w:rsid w:val="00BB0088"/>
    <w:rsid w:val="00BB1B5E"/>
    <w:rsid w:val="00BB2D39"/>
    <w:rsid w:val="00BB33D9"/>
    <w:rsid w:val="00BB369B"/>
    <w:rsid w:val="00BB4987"/>
    <w:rsid w:val="00BB581F"/>
    <w:rsid w:val="00BB6C86"/>
    <w:rsid w:val="00BC1943"/>
    <w:rsid w:val="00BC2FE3"/>
    <w:rsid w:val="00BC337D"/>
    <w:rsid w:val="00BC3DA9"/>
    <w:rsid w:val="00BC4D92"/>
    <w:rsid w:val="00BC57BF"/>
    <w:rsid w:val="00BC589A"/>
    <w:rsid w:val="00BC5A3B"/>
    <w:rsid w:val="00BC6108"/>
    <w:rsid w:val="00BC66DC"/>
    <w:rsid w:val="00BC6C66"/>
    <w:rsid w:val="00BD0775"/>
    <w:rsid w:val="00BD3913"/>
    <w:rsid w:val="00BD498F"/>
    <w:rsid w:val="00BD519D"/>
    <w:rsid w:val="00BD59D4"/>
    <w:rsid w:val="00BE0AD5"/>
    <w:rsid w:val="00BE23E5"/>
    <w:rsid w:val="00BE3B96"/>
    <w:rsid w:val="00BE5B38"/>
    <w:rsid w:val="00BE74E0"/>
    <w:rsid w:val="00BF2951"/>
    <w:rsid w:val="00BF3757"/>
    <w:rsid w:val="00BF43B4"/>
    <w:rsid w:val="00BF48FB"/>
    <w:rsid w:val="00BF5325"/>
    <w:rsid w:val="00BF594D"/>
    <w:rsid w:val="00BF5FF1"/>
    <w:rsid w:val="00BF656E"/>
    <w:rsid w:val="00BF77C7"/>
    <w:rsid w:val="00BF7A5C"/>
    <w:rsid w:val="00C004E1"/>
    <w:rsid w:val="00C00946"/>
    <w:rsid w:val="00C0130C"/>
    <w:rsid w:val="00C02516"/>
    <w:rsid w:val="00C04784"/>
    <w:rsid w:val="00C07539"/>
    <w:rsid w:val="00C07992"/>
    <w:rsid w:val="00C100D7"/>
    <w:rsid w:val="00C10424"/>
    <w:rsid w:val="00C10B3E"/>
    <w:rsid w:val="00C10ECB"/>
    <w:rsid w:val="00C118C6"/>
    <w:rsid w:val="00C137CC"/>
    <w:rsid w:val="00C13940"/>
    <w:rsid w:val="00C14002"/>
    <w:rsid w:val="00C14369"/>
    <w:rsid w:val="00C14FD2"/>
    <w:rsid w:val="00C1517F"/>
    <w:rsid w:val="00C15C93"/>
    <w:rsid w:val="00C161AC"/>
    <w:rsid w:val="00C16643"/>
    <w:rsid w:val="00C16FD2"/>
    <w:rsid w:val="00C17597"/>
    <w:rsid w:val="00C17E0B"/>
    <w:rsid w:val="00C20B51"/>
    <w:rsid w:val="00C21A7B"/>
    <w:rsid w:val="00C21E29"/>
    <w:rsid w:val="00C23F40"/>
    <w:rsid w:val="00C241A6"/>
    <w:rsid w:val="00C24D4A"/>
    <w:rsid w:val="00C2606C"/>
    <w:rsid w:val="00C26609"/>
    <w:rsid w:val="00C26C91"/>
    <w:rsid w:val="00C2781F"/>
    <w:rsid w:val="00C300BA"/>
    <w:rsid w:val="00C311AD"/>
    <w:rsid w:val="00C33264"/>
    <w:rsid w:val="00C33908"/>
    <w:rsid w:val="00C33D76"/>
    <w:rsid w:val="00C356A3"/>
    <w:rsid w:val="00C378F5"/>
    <w:rsid w:val="00C405D2"/>
    <w:rsid w:val="00C41609"/>
    <w:rsid w:val="00C42DB0"/>
    <w:rsid w:val="00C43FCE"/>
    <w:rsid w:val="00C441A8"/>
    <w:rsid w:val="00C44342"/>
    <w:rsid w:val="00C44841"/>
    <w:rsid w:val="00C46E2F"/>
    <w:rsid w:val="00C46E8C"/>
    <w:rsid w:val="00C475A5"/>
    <w:rsid w:val="00C47F93"/>
    <w:rsid w:val="00C509A4"/>
    <w:rsid w:val="00C51FFD"/>
    <w:rsid w:val="00C52DB2"/>
    <w:rsid w:val="00C53438"/>
    <w:rsid w:val="00C53618"/>
    <w:rsid w:val="00C54094"/>
    <w:rsid w:val="00C6293A"/>
    <w:rsid w:val="00C64208"/>
    <w:rsid w:val="00C64355"/>
    <w:rsid w:val="00C65387"/>
    <w:rsid w:val="00C6738E"/>
    <w:rsid w:val="00C67D3A"/>
    <w:rsid w:val="00C67E0E"/>
    <w:rsid w:val="00C717DC"/>
    <w:rsid w:val="00C7213E"/>
    <w:rsid w:val="00C721D3"/>
    <w:rsid w:val="00C72554"/>
    <w:rsid w:val="00C72E70"/>
    <w:rsid w:val="00C72EB2"/>
    <w:rsid w:val="00C72F6D"/>
    <w:rsid w:val="00C756D0"/>
    <w:rsid w:val="00C75C7D"/>
    <w:rsid w:val="00C76E9B"/>
    <w:rsid w:val="00C81936"/>
    <w:rsid w:val="00C81A71"/>
    <w:rsid w:val="00C81E9B"/>
    <w:rsid w:val="00C8318D"/>
    <w:rsid w:val="00C838EC"/>
    <w:rsid w:val="00C84EE2"/>
    <w:rsid w:val="00C85144"/>
    <w:rsid w:val="00C8531F"/>
    <w:rsid w:val="00C855D5"/>
    <w:rsid w:val="00C86133"/>
    <w:rsid w:val="00C87126"/>
    <w:rsid w:val="00C90679"/>
    <w:rsid w:val="00C920CF"/>
    <w:rsid w:val="00C923EE"/>
    <w:rsid w:val="00C93B7B"/>
    <w:rsid w:val="00C94220"/>
    <w:rsid w:val="00C95401"/>
    <w:rsid w:val="00C96348"/>
    <w:rsid w:val="00C96DDD"/>
    <w:rsid w:val="00C97578"/>
    <w:rsid w:val="00CA2258"/>
    <w:rsid w:val="00CA3DA8"/>
    <w:rsid w:val="00CA4573"/>
    <w:rsid w:val="00CA5D85"/>
    <w:rsid w:val="00CA6C7B"/>
    <w:rsid w:val="00CA6F1C"/>
    <w:rsid w:val="00CA7662"/>
    <w:rsid w:val="00CB16D9"/>
    <w:rsid w:val="00CB2EA1"/>
    <w:rsid w:val="00CB3DFD"/>
    <w:rsid w:val="00CB50A2"/>
    <w:rsid w:val="00CB54EC"/>
    <w:rsid w:val="00CB59FF"/>
    <w:rsid w:val="00CC0FB0"/>
    <w:rsid w:val="00CC1432"/>
    <w:rsid w:val="00CC33BF"/>
    <w:rsid w:val="00CC5AD2"/>
    <w:rsid w:val="00CC6394"/>
    <w:rsid w:val="00CD20AF"/>
    <w:rsid w:val="00CD285D"/>
    <w:rsid w:val="00CD2957"/>
    <w:rsid w:val="00CD3923"/>
    <w:rsid w:val="00CD3D37"/>
    <w:rsid w:val="00CD41F2"/>
    <w:rsid w:val="00CD4C82"/>
    <w:rsid w:val="00CD5568"/>
    <w:rsid w:val="00CD7B4F"/>
    <w:rsid w:val="00CD7D90"/>
    <w:rsid w:val="00CE1903"/>
    <w:rsid w:val="00CE1921"/>
    <w:rsid w:val="00CE2562"/>
    <w:rsid w:val="00CE287E"/>
    <w:rsid w:val="00CE29DB"/>
    <w:rsid w:val="00CE422E"/>
    <w:rsid w:val="00CE4856"/>
    <w:rsid w:val="00CE4C65"/>
    <w:rsid w:val="00CE596D"/>
    <w:rsid w:val="00CE5ED6"/>
    <w:rsid w:val="00CE60E4"/>
    <w:rsid w:val="00CE614C"/>
    <w:rsid w:val="00CE65A6"/>
    <w:rsid w:val="00CE65C6"/>
    <w:rsid w:val="00CE713B"/>
    <w:rsid w:val="00CE76D8"/>
    <w:rsid w:val="00CE7B74"/>
    <w:rsid w:val="00CE7CC4"/>
    <w:rsid w:val="00CF0604"/>
    <w:rsid w:val="00CF1B4E"/>
    <w:rsid w:val="00CF5229"/>
    <w:rsid w:val="00CF6B01"/>
    <w:rsid w:val="00CF6B8F"/>
    <w:rsid w:val="00CF6C9A"/>
    <w:rsid w:val="00D00D1C"/>
    <w:rsid w:val="00D00FE6"/>
    <w:rsid w:val="00D023ED"/>
    <w:rsid w:val="00D025C4"/>
    <w:rsid w:val="00D0274D"/>
    <w:rsid w:val="00D02FDC"/>
    <w:rsid w:val="00D0357F"/>
    <w:rsid w:val="00D04852"/>
    <w:rsid w:val="00D04E13"/>
    <w:rsid w:val="00D0654C"/>
    <w:rsid w:val="00D104B9"/>
    <w:rsid w:val="00D1093D"/>
    <w:rsid w:val="00D114A8"/>
    <w:rsid w:val="00D11A8F"/>
    <w:rsid w:val="00D11AF2"/>
    <w:rsid w:val="00D122B9"/>
    <w:rsid w:val="00D146EC"/>
    <w:rsid w:val="00D148A3"/>
    <w:rsid w:val="00D2070D"/>
    <w:rsid w:val="00D20F3B"/>
    <w:rsid w:val="00D21ED2"/>
    <w:rsid w:val="00D23240"/>
    <w:rsid w:val="00D2677C"/>
    <w:rsid w:val="00D26A5B"/>
    <w:rsid w:val="00D30AC9"/>
    <w:rsid w:val="00D319F0"/>
    <w:rsid w:val="00D327C1"/>
    <w:rsid w:val="00D32FB8"/>
    <w:rsid w:val="00D340FD"/>
    <w:rsid w:val="00D34B7E"/>
    <w:rsid w:val="00D3774F"/>
    <w:rsid w:val="00D37B4F"/>
    <w:rsid w:val="00D4019B"/>
    <w:rsid w:val="00D40AA0"/>
    <w:rsid w:val="00D413E9"/>
    <w:rsid w:val="00D41505"/>
    <w:rsid w:val="00D41AC2"/>
    <w:rsid w:val="00D421F5"/>
    <w:rsid w:val="00D43E87"/>
    <w:rsid w:val="00D455D7"/>
    <w:rsid w:val="00D5156C"/>
    <w:rsid w:val="00D52447"/>
    <w:rsid w:val="00D53C47"/>
    <w:rsid w:val="00D550FA"/>
    <w:rsid w:val="00D556F1"/>
    <w:rsid w:val="00D563EA"/>
    <w:rsid w:val="00D57FBD"/>
    <w:rsid w:val="00D6259A"/>
    <w:rsid w:val="00D62949"/>
    <w:rsid w:val="00D62D98"/>
    <w:rsid w:val="00D6390F"/>
    <w:rsid w:val="00D639E9"/>
    <w:rsid w:val="00D654D9"/>
    <w:rsid w:val="00D656FC"/>
    <w:rsid w:val="00D67B46"/>
    <w:rsid w:val="00D67F21"/>
    <w:rsid w:val="00D71BCA"/>
    <w:rsid w:val="00D724F4"/>
    <w:rsid w:val="00D72DCC"/>
    <w:rsid w:val="00D73687"/>
    <w:rsid w:val="00D73703"/>
    <w:rsid w:val="00D754EF"/>
    <w:rsid w:val="00D775C4"/>
    <w:rsid w:val="00D777C8"/>
    <w:rsid w:val="00D8010A"/>
    <w:rsid w:val="00D81316"/>
    <w:rsid w:val="00D82D5F"/>
    <w:rsid w:val="00D83477"/>
    <w:rsid w:val="00D8406F"/>
    <w:rsid w:val="00D8508A"/>
    <w:rsid w:val="00D86233"/>
    <w:rsid w:val="00D86ABF"/>
    <w:rsid w:val="00D902B2"/>
    <w:rsid w:val="00D91455"/>
    <w:rsid w:val="00D91E65"/>
    <w:rsid w:val="00D92A38"/>
    <w:rsid w:val="00D934D0"/>
    <w:rsid w:val="00D95293"/>
    <w:rsid w:val="00D96751"/>
    <w:rsid w:val="00D96EF3"/>
    <w:rsid w:val="00D970FE"/>
    <w:rsid w:val="00D97546"/>
    <w:rsid w:val="00D97FEC"/>
    <w:rsid w:val="00DA1942"/>
    <w:rsid w:val="00DA1C58"/>
    <w:rsid w:val="00DA1CB2"/>
    <w:rsid w:val="00DA2CFE"/>
    <w:rsid w:val="00DA4D10"/>
    <w:rsid w:val="00DA59CA"/>
    <w:rsid w:val="00DB058C"/>
    <w:rsid w:val="00DB397F"/>
    <w:rsid w:val="00DB3D39"/>
    <w:rsid w:val="00DB4826"/>
    <w:rsid w:val="00DB4D44"/>
    <w:rsid w:val="00DB5228"/>
    <w:rsid w:val="00DB6B08"/>
    <w:rsid w:val="00DB6F64"/>
    <w:rsid w:val="00DC00BE"/>
    <w:rsid w:val="00DC2EB3"/>
    <w:rsid w:val="00DC3AB8"/>
    <w:rsid w:val="00DC4CA0"/>
    <w:rsid w:val="00DC5845"/>
    <w:rsid w:val="00DC6C97"/>
    <w:rsid w:val="00DC7179"/>
    <w:rsid w:val="00DD0074"/>
    <w:rsid w:val="00DD0B58"/>
    <w:rsid w:val="00DD0F9B"/>
    <w:rsid w:val="00DD3112"/>
    <w:rsid w:val="00DD42EB"/>
    <w:rsid w:val="00DD4920"/>
    <w:rsid w:val="00DD50B4"/>
    <w:rsid w:val="00DD5D38"/>
    <w:rsid w:val="00DD79DE"/>
    <w:rsid w:val="00DE18CE"/>
    <w:rsid w:val="00DE20EC"/>
    <w:rsid w:val="00DE30F9"/>
    <w:rsid w:val="00DE3413"/>
    <w:rsid w:val="00DE34B5"/>
    <w:rsid w:val="00DE3C60"/>
    <w:rsid w:val="00DE528B"/>
    <w:rsid w:val="00DE54FF"/>
    <w:rsid w:val="00DE616B"/>
    <w:rsid w:val="00DE7D68"/>
    <w:rsid w:val="00DF0887"/>
    <w:rsid w:val="00DF3853"/>
    <w:rsid w:val="00DF4FBE"/>
    <w:rsid w:val="00DF643C"/>
    <w:rsid w:val="00DF6E1B"/>
    <w:rsid w:val="00E0094E"/>
    <w:rsid w:val="00E00B9E"/>
    <w:rsid w:val="00E00BA9"/>
    <w:rsid w:val="00E00E5D"/>
    <w:rsid w:val="00E03BB2"/>
    <w:rsid w:val="00E03CF1"/>
    <w:rsid w:val="00E043E1"/>
    <w:rsid w:val="00E049C7"/>
    <w:rsid w:val="00E04C1C"/>
    <w:rsid w:val="00E108CA"/>
    <w:rsid w:val="00E146A5"/>
    <w:rsid w:val="00E1495B"/>
    <w:rsid w:val="00E14F89"/>
    <w:rsid w:val="00E156AA"/>
    <w:rsid w:val="00E1664E"/>
    <w:rsid w:val="00E16BA4"/>
    <w:rsid w:val="00E2041B"/>
    <w:rsid w:val="00E2051A"/>
    <w:rsid w:val="00E20A6B"/>
    <w:rsid w:val="00E234A2"/>
    <w:rsid w:val="00E2445C"/>
    <w:rsid w:val="00E26896"/>
    <w:rsid w:val="00E26F41"/>
    <w:rsid w:val="00E2717F"/>
    <w:rsid w:val="00E27590"/>
    <w:rsid w:val="00E27834"/>
    <w:rsid w:val="00E30F1B"/>
    <w:rsid w:val="00E31756"/>
    <w:rsid w:val="00E33BD4"/>
    <w:rsid w:val="00E34BC7"/>
    <w:rsid w:val="00E34E7C"/>
    <w:rsid w:val="00E35C6E"/>
    <w:rsid w:val="00E36682"/>
    <w:rsid w:val="00E36A9B"/>
    <w:rsid w:val="00E37BB4"/>
    <w:rsid w:val="00E4061A"/>
    <w:rsid w:val="00E41B53"/>
    <w:rsid w:val="00E41CDF"/>
    <w:rsid w:val="00E43607"/>
    <w:rsid w:val="00E44323"/>
    <w:rsid w:val="00E466D6"/>
    <w:rsid w:val="00E46B95"/>
    <w:rsid w:val="00E4759B"/>
    <w:rsid w:val="00E521ED"/>
    <w:rsid w:val="00E52D39"/>
    <w:rsid w:val="00E552FC"/>
    <w:rsid w:val="00E56A8B"/>
    <w:rsid w:val="00E57C84"/>
    <w:rsid w:val="00E57FC3"/>
    <w:rsid w:val="00E60986"/>
    <w:rsid w:val="00E60C5D"/>
    <w:rsid w:val="00E62592"/>
    <w:rsid w:val="00E64D7F"/>
    <w:rsid w:val="00E6582E"/>
    <w:rsid w:val="00E65BF0"/>
    <w:rsid w:val="00E669DD"/>
    <w:rsid w:val="00E66A5E"/>
    <w:rsid w:val="00E66CF9"/>
    <w:rsid w:val="00E67626"/>
    <w:rsid w:val="00E71B8F"/>
    <w:rsid w:val="00E7234E"/>
    <w:rsid w:val="00E738EA"/>
    <w:rsid w:val="00E746B8"/>
    <w:rsid w:val="00E75194"/>
    <w:rsid w:val="00E76CA0"/>
    <w:rsid w:val="00E77B7C"/>
    <w:rsid w:val="00E77E93"/>
    <w:rsid w:val="00E8052C"/>
    <w:rsid w:val="00E81231"/>
    <w:rsid w:val="00E81E31"/>
    <w:rsid w:val="00E82279"/>
    <w:rsid w:val="00E82CCD"/>
    <w:rsid w:val="00E87274"/>
    <w:rsid w:val="00E8755D"/>
    <w:rsid w:val="00E87806"/>
    <w:rsid w:val="00E90132"/>
    <w:rsid w:val="00E93430"/>
    <w:rsid w:val="00E94A02"/>
    <w:rsid w:val="00E96125"/>
    <w:rsid w:val="00E9668E"/>
    <w:rsid w:val="00EA0696"/>
    <w:rsid w:val="00EA0B8F"/>
    <w:rsid w:val="00EA1F37"/>
    <w:rsid w:val="00EA3ACC"/>
    <w:rsid w:val="00EA5F03"/>
    <w:rsid w:val="00EA7D99"/>
    <w:rsid w:val="00EB0E4C"/>
    <w:rsid w:val="00EB0ED1"/>
    <w:rsid w:val="00EB2EF2"/>
    <w:rsid w:val="00EB2EF6"/>
    <w:rsid w:val="00EB300F"/>
    <w:rsid w:val="00EB3A2F"/>
    <w:rsid w:val="00EB7606"/>
    <w:rsid w:val="00EC07C9"/>
    <w:rsid w:val="00EC1B2D"/>
    <w:rsid w:val="00EC1D21"/>
    <w:rsid w:val="00EC1ED0"/>
    <w:rsid w:val="00EC6233"/>
    <w:rsid w:val="00EC6C7D"/>
    <w:rsid w:val="00ED0583"/>
    <w:rsid w:val="00ED5A8D"/>
    <w:rsid w:val="00ED7930"/>
    <w:rsid w:val="00EE021B"/>
    <w:rsid w:val="00EE0F8C"/>
    <w:rsid w:val="00EE2804"/>
    <w:rsid w:val="00EE2A30"/>
    <w:rsid w:val="00EE2BA5"/>
    <w:rsid w:val="00EE2C65"/>
    <w:rsid w:val="00EE2D4D"/>
    <w:rsid w:val="00EE40B8"/>
    <w:rsid w:val="00EE5170"/>
    <w:rsid w:val="00EE5ECE"/>
    <w:rsid w:val="00EE643F"/>
    <w:rsid w:val="00EE7B9E"/>
    <w:rsid w:val="00EE7BBF"/>
    <w:rsid w:val="00EF19D6"/>
    <w:rsid w:val="00EF3B3A"/>
    <w:rsid w:val="00EF73CE"/>
    <w:rsid w:val="00F00693"/>
    <w:rsid w:val="00F0139E"/>
    <w:rsid w:val="00F0203A"/>
    <w:rsid w:val="00F030DB"/>
    <w:rsid w:val="00F038FE"/>
    <w:rsid w:val="00F054E1"/>
    <w:rsid w:val="00F061DF"/>
    <w:rsid w:val="00F07070"/>
    <w:rsid w:val="00F07D14"/>
    <w:rsid w:val="00F10294"/>
    <w:rsid w:val="00F1061A"/>
    <w:rsid w:val="00F11ACC"/>
    <w:rsid w:val="00F11C63"/>
    <w:rsid w:val="00F1358A"/>
    <w:rsid w:val="00F1556E"/>
    <w:rsid w:val="00F1679A"/>
    <w:rsid w:val="00F16AC4"/>
    <w:rsid w:val="00F2047C"/>
    <w:rsid w:val="00F21FF7"/>
    <w:rsid w:val="00F2321E"/>
    <w:rsid w:val="00F301D4"/>
    <w:rsid w:val="00F337C9"/>
    <w:rsid w:val="00F33844"/>
    <w:rsid w:val="00F346E0"/>
    <w:rsid w:val="00F34E91"/>
    <w:rsid w:val="00F35673"/>
    <w:rsid w:val="00F35769"/>
    <w:rsid w:val="00F35FE4"/>
    <w:rsid w:val="00F37F70"/>
    <w:rsid w:val="00F4260F"/>
    <w:rsid w:val="00F42B5F"/>
    <w:rsid w:val="00F432EB"/>
    <w:rsid w:val="00F4349E"/>
    <w:rsid w:val="00F4373A"/>
    <w:rsid w:val="00F43D6E"/>
    <w:rsid w:val="00F43E4A"/>
    <w:rsid w:val="00F449D8"/>
    <w:rsid w:val="00F45976"/>
    <w:rsid w:val="00F45A60"/>
    <w:rsid w:val="00F45CCA"/>
    <w:rsid w:val="00F50AEB"/>
    <w:rsid w:val="00F50C7C"/>
    <w:rsid w:val="00F50C84"/>
    <w:rsid w:val="00F52EF1"/>
    <w:rsid w:val="00F538EA"/>
    <w:rsid w:val="00F539CF"/>
    <w:rsid w:val="00F5410C"/>
    <w:rsid w:val="00F54B68"/>
    <w:rsid w:val="00F61054"/>
    <w:rsid w:val="00F63662"/>
    <w:rsid w:val="00F63C0A"/>
    <w:rsid w:val="00F63DB2"/>
    <w:rsid w:val="00F63EF2"/>
    <w:rsid w:val="00F64C18"/>
    <w:rsid w:val="00F65266"/>
    <w:rsid w:val="00F65AD2"/>
    <w:rsid w:val="00F662F1"/>
    <w:rsid w:val="00F66540"/>
    <w:rsid w:val="00F6744C"/>
    <w:rsid w:val="00F70D19"/>
    <w:rsid w:val="00F727A6"/>
    <w:rsid w:val="00F72A79"/>
    <w:rsid w:val="00F72A9F"/>
    <w:rsid w:val="00F72D00"/>
    <w:rsid w:val="00F739C3"/>
    <w:rsid w:val="00F73C28"/>
    <w:rsid w:val="00F73E43"/>
    <w:rsid w:val="00F7563A"/>
    <w:rsid w:val="00F77041"/>
    <w:rsid w:val="00F82EF5"/>
    <w:rsid w:val="00F82EF6"/>
    <w:rsid w:val="00F83360"/>
    <w:rsid w:val="00F83982"/>
    <w:rsid w:val="00F8427C"/>
    <w:rsid w:val="00F8502C"/>
    <w:rsid w:val="00F85295"/>
    <w:rsid w:val="00F8596F"/>
    <w:rsid w:val="00F862A3"/>
    <w:rsid w:val="00F86314"/>
    <w:rsid w:val="00F903BE"/>
    <w:rsid w:val="00F910A6"/>
    <w:rsid w:val="00F91208"/>
    <w:rsid w:val="00F91812"/>
    <w:rsid w:val="00F92540"/>
    <w:rsid w:val="00F92974"/>
    <w:rsid w:val="00F929FA"/>
    <w:rsid w:val="00F939C0"/>
    <w:rsid w:val="00F94690"/>
    <w:rsid w:val="00F978A4"/>
    <w:rsid w:val="00FA0BF7"/>
    <w:rsid w:val="00FA1CC8"/>
    <w:rsid w:val="00FA2346"/>
    <w:rsid w:val="00FA38F0"/>
    <w:rsid w:val="00FA3C3E"/>
    <w:rsid w:val="00FA3C44"/>
    <w:rsid w:val="00FA52D8"/>
    <w:rsid w:val="00FA5D66"/>
    <w:rsid w:val="00FA63C3"/>
    <w:rsid w:val="00FA715E"/>
    <w:rsid w:val="00FA7290"/>
    <w:rsid w:val="00FB0017"/>
    <w:rsid w:val="00FB0CA6"/>
    <w:rsid w:val="00FB12D2"/>
    <w:rsid w:val="00FB1DDA"/>
    <w:rsid w:val="00FB2E9C"/>
    <w:rsid w:val="00FB4D55"/>
    <w:rsid w:val="00FB5B69"/>
    <w:rsid w:val="00FB5C29"/>
    <w:rsid w:val="00FB5CB7"/>
    <w:rsid w:val="00FB670C"/>
    <w:rsid w:val="00FB74A6"/>
    <w:rsid w:val="00FB7E3A"/>
    <w:rsid w:val="00FC27B6"/>
    <w:rsid w:val="00FC3548"/>
    <w:rsid w:val="00FC4B30"/>
    <w:rsid w:val="00FC59FC"/>
    <w:rsid w:val="00FC5B90"/>
    <w:rsid w:val="00FC6A97"/>
    <w:rsid w:val="00FD0724"/>
    <w:rsid w:val="00FD0D9C"/>
    <w:rsid w:val="00FD12BE"/>
    <w:rsid w:val="00FD235F"/>
    <w:rsid w:val="00FD2769"/>
    <w:rsid w:val="00FD485D"/>
    <w:rsid w:val="00FD4DBB"/>
    <w:rsid w:val="00FD70D5"/>
    <w:rsid w:val="00FD73F9"/>
    <w:rsid w:val="00FE088E"/>
    <w:rsid w:val="00FE1780"/>
    <w:rsid w:val="00FE2AA1"/>
    <w:rsid w:val="00FE381A"/>
    <w:rsid w:val="00FE52DD"/>
    <w:rsid w:val="00FE5BDD"/>
    <w:rsid w:val="00FE5E70"/>
    <w:rsid w:val="00FE6111"/>
    <w:rsid w:val="00FE7359"/>
    <w:rsid w:val="00FF04D5"/>
    <w:rsid w:val="00FF1827"/>
    <w:rsid w:val="00FF18E5"/>
    <w:rsid w:val="00FF1D2E"/>
    <w:rsid w:val="00FF2015"/>
    <w:rsid w:val="00FF22DF"/>
    <w:rsid w:val="00FF5132"/>
    <w:rsid w:val="00FF5F6F"/>
    <w:rsid w:val="00FF6B18"/>
    <w:rsid w:val="00FF718B"/>
    <w:rsid w:val="00FF7219"/>
    <w:rsid w:val="00FF73C9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#bbe0e3">
      <v:fill color="#bbe0e3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2D39"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E52D39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E52D39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E52D39"/>
    <w:pPr>
      <w:keepNext/>
      <w:jc w:val="center"/>
      <w:outlineLvl w:val="2"/>
    </w:pPr>
    <w:rPr>
      <w:sz w:val="16"/>
      <w:szCs w:val="16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E52D39"/>
    <w:pPr>
      <w:keepNext/>
      <w:outlineLvl w:val="3"/>
    </w:pPr>
    <w:rPr>
      <w:sz w:val="22"/>
      <w:szCs w:val="22"/>
      <w:u w:val="single"/>
    </w:rPr>
  </w:style>
  <w:style w:type="paragraph" w:styleId="berschrift5">
    <w:name w:val="heading 5"/>
    <w:basedOn w:val="Standard"/>
    <w:next w:val="Standard"/>
    <w:qFormat/>
    <w:rsid w:val="00E52D39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52D39"/>
    <w:pPr>
      <w:tabs>
        <w:tab w:val="left" w:pos="709"/>
      </w:tabs>
    </w:pPr>
  </w:style>
  <w:style w:type="paragraph" w:styleId="Kopfzeile">
    <w:name w:val="header"/>
    <w:basedOn w:val="Standard"/>
    <w:rsid w:val="00E52D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2D3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52D39"/>
    <w:pPr>
      <w:jc w:val="both"/>
    </w:pPr>
    <w:rPr>
      <w:b/>
      <w:bCs/>
    </w:rPr>
  </w:style>
  <w:style w:type="paragraph" w:styleId="Textkrper2">
    <w:name w:val="Body Text 2"/>
    <w:basedOn w:val="Standard"/>
    <w:rsid w:val="00E52D39"/>
    <w:pPr>
      <w:jc w:val="both"/>
    </w:pPr>
    <w:rPr>
      <w:sz w:val="22"/>
      <w:szCs w:val="22"/>
    </w:rPr>
  </w:style>
  <w:style w:type="character" w:styleId="Seitenzahl">
    <w:name w:val="page number"/>
    <w:basedOn w:val="Absatz-Standardschriftart"/>
    <w:rsid w:val="00E52D39"/>
  </w:style>
  <w:style w:type="paragraph" w:styleId="Textkrper3">
    <w:name w:val="Body Text 3"/>
    <w:basedOn w:val="Standard"/>
    <w:rsid w:val="00E52D39"/>
    <w:rPr>
      <w:sz w:val="16"/>
      <w:szCs w:val="16"/>
    </w:rPr>
  </w:style>
  <w:style w:type="paragraph" w:styleId="Sprechblasentext">
    <w:name w:val="Balloon Text"/>
    <w:basedOn w:val="Standard"/>
    <w:semiHidden/>
    <w:rsid w:val="00E52D3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32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nt">
    <w:name w:val="Fint"/>
    <w:basedOn w:val="Standard"/>
    <w:rsid w:val="00825CC1"/>
    <w:rPr>
      <w:rFonts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D276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FF5132"/>
    <w:rPr>
      <w:rFonts w:ascii="Arial" w:hAnsi="Arial" w:cs="Arial"/>
      <w:sz w:val="22"/>
      <w:szCs w:val="22"/>
      <w:u w:val="single"/>
      <w:lang w:eastAsia="en-US"/>
    </w:rPr>
  </w:style>
  <w:style w:type="paragraph" w:styleId="StandardWeb">
    <w:name w:val="Normal (Web)"/>
    <w:basedOn w:val="Standard"/>
    <w:uiPriority w:val="99"/>
    <w:unhideWhenUsed/>
    <w:rsid w:val="008253B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3523FF"/>
    <w:rPr>
      <w:b/>
      <w:bCs/>
    </w:rPr>
  </w:style>
  <w:style w:type="paragraph" w:styleId="Listenabsatz">
    <w:name w:val="List Paragraph"/>
    <w:basedOn w:val="Standard"/>
    <w:uiPriority w:val="34"/>
    <w:qFormat/>
    <w:rsid w:val="00B7267D"/>
    <w:pPr>
      <w:ind w:left="720"/>
      <w:contextualSpacing/>
    </w:pPr>
  </w:style>
  <w:style w:type="character" w:styleId="Hyperlink">
    <w:name w:val="Hyperlink"/>
    <w:basedOn w:val="Absatz-Standardschriftart"/>
    <w:rsid w:val="002A658F"/>
    <w:rPr>
      <w:color w:val="0000FF" w:themeColor="hyperlink"/>
      <w:u w:val="single"/>
    </w:rPr>
  </w:style>
  <w:style w:type="paragraph" w:customStyle="1" w:styleId="Default">
    <w:name w:val="Default"/>
    <w:rsid w:val="006D1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C46E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46E8C"/>
    <w:rPr>
      <w:rFonts w:ascii="Arial" w:hAnsi="Arial" w:cs="Arial"/>
      <w:lang w:eastAsia="en-US"/>
    </w:rPr>
  </w:style>
  <w:style w:type="character" w:styleId="Endnotenzeichen">
    <w:name w:val="endnote reference"/>
    <w:basedOn w:val="Absatz-Standardschriftart"/>
    <w:rsid w:val="00C46E8C"/>
    <w:rPr>
      <w:vertAlign w:val="superscript"/>
    </w:rPr>
  </w:style>
  <w:style w:type="paragraph" w:styleId="Funotentext">
    <w:name w:val="footnote text"/>
    <w:basedOn w:val="Standard"/>
    <w:link w:val="FunotentextZchn"/>
    <w:rsid w:val="00C46E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46E8C"/>
    <w:rPr>
      <w:rFonts w:ascii="Arial" w:hAnsi="Arial" w:cs="Arial"/>
      <w:lang w:eastAsia="en-US"/>
    </w:rPr>
  </w:style>
  <w:style w:type="character" w:styleId="Funotenzeichen">
    <w:name w:val="footnote reference"/>
    <w:basedOn w:val="Absatz-Standardschriftart"/>
    <w:rsid w:val="00C46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image" Target="media/image3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2.xml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4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de.wikipedia.org/wiki/Strategie_%28Wirtschaft%2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-Arbeitsblatt1.xls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oleObject" Target="embeddings/Microsoft_Office_Excel_97-2003-Arbeitsblatt2.xls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hs.stuttgart.de\dfsroot\AMT66\66\66-K\Endrich\SES_Abschluss\Jahresabschluss2013\Lagebericht\Digramme%20zum%20Lageberich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hs.stuttgart.de\dfsroot\AMT66\66\66-K\Endrich\SES_Abschluss\Jahresabschluss2013\Lagebericht\Digramme%20zum%20Lageberich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 sz="1000"/>
              <a:t>Entwicklung der Schmutzwassermengen 2009 bis 2013 
(Schmutzwasser, Eigenwasser und sonst. Mengen)</a:t>
            </a:r>
            <a:r>
              <a:rPr lang="de-DE"/>
              <a:t>
</a:t>
            </a:r>
          </a:p>
        </c:rich>
      </c:tx>
      <c:layout>
        <c:manualLayout>
          <c:xMode val="edge"/>
          <c:yMode val="edge"/>
          <c:x val="0.21083823148867001"/>
          <c:y val="4.100929838038537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6903356711480764E-2"/>
          <c:y val="0.25380742114062188"/>
          <c:w val="0.89351338590676332"/>
          <c:h val="0.58629514283483564"/>
        </c:manualLayout>
      </c:layout>
      <c:barChart>
        <c:barDir val="col"/>
        <c:grouping val="stacked"/>
        <c:ser>
          <c:idx val="0"/>
          <c:order val="0"/>
          <c:tx>
            <c:strRef>
              <c:f>'Entwicklung Wassermengen'!$B$10</c:f>
              <c:strCache>
                <c:ptCount val="1"/>
                <c:pt idx="0">
                  <c:v>Abwasser
in Mio. m³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'Entwicklung Wassermengen'!$C$9:$H$9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HR 2013</c:v>
                </c:pt>
                <c:pt idx="5">
                  <c:v>Kalk. 2013</c:v>
                </c:pt>
              </c:strCache>
            </c:strRef>
          </c:cat>
          <c:val>
            <c:numRef>
              <c:f>'Entwicklung Wassermengen'!$C$10:$H$10</c:f>
              <c:numCache>
                <c:formatCode>0.0</c:formatCode>
                <c:ptCount val="6"/>
                <c:pt idx="0">
                  <c:v>35.713000000000001</c:v>
                </c:pt>
                <c:pt idx="1">
                  <c:v>35.433</c:v>
                </c:pt>
                <c:pt idx="2">
                  <c:v>36.073</c:v>
                </c:pt>
                <c:pt idx="3">
                  <c:v>35.56</c:v>
                </c:pt>
                <c:pt idx="4">
                  <c:v>34.786000000000001</c:v>
                </c:pt>
                <c:pt idx="5">
                  <c:v>35</c:v>
                </c:pt>
              </c:numCache>
            </c:numRef>
          </c:val>
        </c:ser>
        <c:overlap val="100"/>
        <c:axId val="130221952"/>
        <c:axId val="130223488"/>
      </c:barChart>
      <c:catAx>
        <c:axId val="130221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30223488"/>
        <c:crosses val="autoZero"/>
        <c:auto val="1"/>
        <c:lblAlgn val="ctr"/>
        <c:lblOffset val="100"/>
        <c:tickLblSkip val="1"/>
        <c:tickMarkSkip val="1"/>
      </c:catAx>
      <c:valAx>
        <c:axId val="130223488"/>
        <c:scaling>
          <c:orientation val="minMax"/>
          <c:min val="3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 anchor="ctr" anchorCtr="0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 b="0"/>
                  <a:t>in Mio. m³</a:t>
                </a:r>
              </a:p>
            </c:rich>
          </c:tx>
          <c:layout>
            <c:manualLayout>
              <c:xMode val="edge"/>
              <c:yMode val="edge"/>
              <c:x val="0.48470041208093401"/>
              <c:y val="0.91116864189483049"/>
            </c:manualLayout>
          </c:layout>
          <c:spPr>
            <a:noFill/>
            <a:ln w="25400">
              <a:noFill/>
            </a:ln>
          </c:spPr>
        </c:title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302219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 sz="1000"/>
              <a:t>Entwicklung der angeschlossenen Privatflächen 2009 bis 2013</a:t>
            </a:r>
          </a:p>
        </c:rich>
      </c:tx>
      <c:layout>
        <c:manualLayout>
          <c:xMode val="edge"/>
          <c:yMode val="edge"/>
          <c:x val="0.15547650733799173"/>
          <c:y val="2.42466724300412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4507139115614208E-2"/>
          <c:y val="0.14720830426156153"/>
          <c:w val="0.89906206336889261"/>
          <c:h val="0.69289425971390062"/>
        </c:manualLayout>
      </c:layout>
      <c:barChart>
        <c:barDir val="col"/>
        <c:grouping val="clustered"/>
        <c:ser>
          <c:idx val="0"/>
          <c:order val="0"/>
          <c:tx>
            <c:strRef>
              <c:f>'Entwicklung Flächen NSW'!$B$10</c:f>
              <c:strCache>
                <c:ptCount val="1"/>
                <c:pt idx="0">
                  <c:v>Abwasser
in Mio. m³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>
                <a:gsLst>
                  <a:gs pos="0">
                    <a:srgbClr val="FFC000"/>
                  </a:gs>
                  <a:gs pos="100000">
                    <a:srgbClr val="FFFF00">
                      <a:gamma/>
                      <a:tint val="0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'Entwicklung Flächen NSW'!$C$9:$H$9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HR 2013</c:v>
                </c:pt>
                <c:pt idx="5">
                  <c:v>Kalk. 2013</c:v>
                </c:pt>
              </c:strCache>
            </c:strRef>
          </c:cat>
          <c:val>
            <c:numRef>
              <c:f>'Entwicklung Flächen NSW'!$C$10:$H$10</c:f>
              <c:numCache>
                <c:formatCode>0.0</c:formatCode>
                <c:ptCount val="6"/>
                <c:pt idx="0">
                  <c:v>31.323</c:v>
                </c:pt>
                <c:pt idx="1">
                  <c:v>31.323</c:v>
                </c:pt>
                <c:pt idx="2">
                  <c:v>31.367999999999999</c:v>
                </c:pt>
                <c:pt idx="3">
                  <c:v>31.302</c:v>
                </c:pt>
                <c:pt idx="4">
                  <c:v>31.271999999999988</c:v>
                </c:pt>
                <c:pt idx="5">
                  <c:v>31.4</c:v>
                </c:pt>
              </c:numCache>
            </c:numRef>
          </c:val>
        </c:ser>
        <c:ser>
          <c:idx val="1"/>
          <c:order val="1"/>
          <c:tx>
            <c:strRef>
              <c:f>'Entwicklung Flächen NSW'!$B$11</c:f>
              <c:strCache>
                <c:ptCount val="1"/>
                <c:pt idx="0">
                  <c:v>Korrekturen in 2012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'Entwicklung Flächen NSW'!$C$9:$H$9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HR 2013</c:v>
                </c:pt>
                <c:pt idx="5">
                  <c:v>Kalk. 2013</c:v>
                </c:pt>
              </c:strCache>
            </c:strRef>
          </c:cat>
          <c:val>
            <c:numRef>
              <c:f>'Entwicklung Flächen NSW'!$C$11:$H$11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overlap val="100"/>
        <c:axId val="130160128"/>
        <c:axId val="130161664"/>
      </c:barChart>
      <c:catAx>
        <c:axId val="130160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30161664"/>
        <c:crosses val="autoZero"/>
        <c:auto val="1"/>
        <c:lblAlgn val="ctr"/>
        <c:lblOffset val="100"/>
        <c:tickLblSkip val="1"/>
        <c:tickMarkSkip val="1"/>
      </c:catAx>
      <c:valAx>
        <c:axId val="130161664"/>
        <c:scaling>
          <c:orientation val="minMax"/>
          <c:min val="2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 b="0"/>
                  <a:t>in Mio. m²</a:t>
                </a:r>
              </a:p>
            </c:rich>
          </c:tx>
          <c:layout>
            <c:manualLayout>
              <c:xMode val="edge"/>
              <c:yMode val="edge"/>
              <c:x val="0.48591604991478327"/>
              <c:y val="0.91370671610623722"/>
            </c:manualLayout>
          </c:layout>
          <c:spPr>
            <a:noFill/>
            <a:ln w="25400">
              <a:noFill/>
            </a:ln>
          </c:spPr>
        </c:title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3016012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7A505B-0002-47F8-9565-DA5E2D613C6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C2D87B0-E2B5-4413-B737-892AE0A597E0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de-DE" sz="1000" b="1">
              <a:solidFill>
                <a:schemeClr val="tx1"/>
              </a:solidFill>
            </a:rPr>
            <a:t>Veranlagte Abwassermenge</a:t>
          </a:r>
        </a:p>
        <a:p>
          <a:pPr algn="ctr"/>
          <a:r>
            <a:rPr lang="de-DE" sz="1000">
              <a:solidFill>
                <a:schemeClr val="tx1"/>
              </a:solidFill>
            </a:rPr>
            <a:t>2013:           34,8 Mio. m³</a:t>
          </a:r>
        </a:p>
        <a:p>
          <a:pPr algn="ctr"/>
          <a:r>
            <a:rPr lang="de-DE" sz="1000">
              <a:solidFill>
                <a:schemeClr val="tx1"/>
              </a:solidFill>
            </a:rPr>
            <a:t>Kalk. 2013: 35,0 Mio. m³</a:t>
          </a:r>
        </a:p>
        <a:p>
          <a:pPr algn="ctr"/>
          <a:r>
            <a:rPr lang="de-DE" sz="1000">
              <a:solidFill>
                <a:schemeClr val="tx1"/>
              </a:solidFill>
            </a:rPr>
            <a:t>2012:           35,6 Mio. m³</a:t>
          </a:r>
        </a:p>
      </dgm:t>
    </dgm:pt>
    <dgm:pt modelId="{9DA445A5-1433-4B57-9FA7-C07D53D047A5}" type="parTrans" cxnId="{7AB5B9B2-08A5-4DC5-9F42-79AA01A5261B}">
      <dgm:prSet/>
      <dgm:spPr/>
      <dgm:t>
        <a:bodyPr/>
        <a:lstStyle/>
        <a:p>
          <a:pPr algn="ctr"/>
          <a:endParaRPr lang="de-DE" sz="1000"/>
        </a:p>
      </dgm:t>
    </dgm:pt>
    <dgm:pt modelId="{EE5FC2B7-C48C-4F75-8FC2-E711DBFA77E3}" type="sibTrans" cxnId="{7AB5B9B2-08A5-4DC5-9F42-79AA01A5261B}">
      <dgm:prSet/>
      <dgm:spPr/>
      <dgm:t>
        <a:bodyPr/>
        <a:lstStyle/>
        <a:p>
          <a:pPr algn="ctr"/>
          <a:endParaRPr lang="de-DE" sz="1000"/>
        </a:p>
      </dgm:t>
    </dgm:pt>
    <dgm:pt modelId="{58103102-22F3-4C20-B254-25C10D264015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de-DE" sz="1000" b="1">
              <a:solidFill>
                <a:schemeClr val="tx1"/>
              </a:solidFill>
            </a:rPr>
            <a:t>Niederschlagswassergebühr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2013:           0,61 EUR/m²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Kalk. 2013: 0,61 EUR/m²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2012:           0,57 EUR/m²</a:t>
          </a:r>
        </a:p>
      </dgm:t>
    </dgm:pt>
    <dgm:pt modelId="{71D96A38-0D47-42A5-991E-D0C06FD946B7}" type="parTrans" cxnId="{36B52724-D466-48E1-9DC4-DF5596C08873}">
      <dgm:prSet/>
      <dgm:spPr/>
      <dgm:t>
        <a:bodyPr/>
        <a:lstStyle/>
        <a:p>
          <a:pPr algn="ctr"/>
          <a:endParaRPr lang="de-DE" sz="1000"/>
        </a:p>
      </dgm:t>
    </dgm:pt>
    <dgm:pt modelId="{B5FAD12E-E97D-412A-918B-39F0AA8CA62E}" type="sibTrans" cxnId="{36B52724-D466-48E1-9DC4-DF5596C08873}">
      <dgm:prSet/>
      <dgm:spPr/>
      <dgm:t>
        <a:bodyPr/>
        <a:lstStyle/>
        <a:p>
          <a:pPr algn="ctr"/>
          <a:endParaRPr lang="de-DE" sz="1000"/>
        </a:p>
      </dgm:t>
    </dgm:pt>
    <dgm:pt modelId="{0679456C-E36A-476D-B55E-9A1515A777FF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de-DE" sz="1000" b="1">
              <a:solidFill>
                <a:schemeClr val="tx1"/>
              </a:solidFill>
            </a:rPr>
            <a:t>Gesamtaufwendungen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2013:           108,40 Mio. EUR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Kalk. 2013: 107,76 Mio. EUR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2012:           107,46 Mio. EUR</a:t>
          </a:r>
        </a:p>
      </dgm:t>
    </dgm:pt>
    <dgm:pt modelId="{C08C4617-EAB1-4189-9DA7-B7B4CD36E188}" type="parTrans" cxnId="{4872E194-D63E-46C2-9E6A-6241DCFEA6F3}">
      <dgm:prSet/>
      <dgm:spPr/>
      <dgm:t>
        <a:bodyPr/>
        <a:lstStyle/>
        <a:p>
          <a:pPr algn="ctr"/>
          <a:endParaRPr lang="de-DE" sz="1000"/>
        </a:p>
      </dgm:t>
    </dgm:pt>
    <dgm:pt modelId="{E78853C3-22A2-458F-8B47-AAFFB0B35CC8}" type="sibTrans" cxnId="{4872E194-D63E-46C2-9E6A-6241DCFEA6F3}">
      <dgm:prSet/>
      <dgm:spPr/>
      <dgm:t>
        <a:bodyPr/>
        <a:lstStyle/>
        <a:p>
          <a:pPr algn="ctr"/>
          <a:endParaRPr lang="de-DE" sz="1000"/>
        </a:p>
      </dgm:t>
    </dgm:pt>
    <dgm:pt modelId="{F1946262-03D2-42E1-85D7-697A791BED41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de-DE" sz="1000" b="1">
              <a:solidFill>
                <a:schemeClr val="tx1"/>
              </a:solidFill>
            </a:rPr>
            <a:t>Gesamterträge (</a:t>
          </a:r>
          <a:r>
            <a:rPr lang="de-DE" sz="800" b="1">
              <a:solidFill>
                <a:schemeClr val="tx1"/>
              </a:solidFill>
            </a:rPr>
            <a:t>vor Buch. Kostenüb</a:t>
          </a:r>
          <a:r>
            <a:rPr lang="de-DE" sz="1000" b="1">
              <a:solidFill>
                <a:schemeClr val="tx1"/>
              </a:solidFill>
            </a:rPr>
            <a:t>.)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 2013:          114,85 Mio. EUR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Kalk. 2013: 114,00 Mio. EUR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2012:           114,38 Mio. EUR</a:t>
          </a:r>
        </a:p>
      </dgm:t>
    </dgm:pt>
    <dgm:pt modelId="{62BAD0EC-FC5E-456E-86C5-348BE07264DA}" type="parTrans" cxnId="{EF1E1F15-4772-4678-B8D5-009055BB768C}">
      <dgm:prSet/>
      <dgm:spPr/>
      <dgm:t>
        <a:bodyPr/>
        <a:lstStyle/>
        <a:p>
          <a:pPr algn="ctr"/>
          <a:endParaRPr lang="de-DE" sz="1000"/>
        </a:p>
      </dgm:t>
    </dgm:pt>
    <dgm:pt modelId="{F495AFFC-99AA-4795-BA8A-BB719A84BC9B}" type="sibTrans" cxnId="{EF1E1F15-4772-4678-B8D5-009055BB768C}">
      <dgm:prSet/>
      <dgm:spPr/>
      <dgm:t>
        <a:bodyPr/>
        <a:lstStyle/>
        <a:p>
          <a:pPr algn="ctr"/>
          <a:endParaRPr lang="de-DE" sz="1000"/>
        </a:p>
      </dgm:t>
    </dgm:pt>
    <dgm:pt modelId="{A0A80FDB-4A85-4B1C-A1CA-7DE3073AD188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de-DE" sz="1000" b="1">
              <a:solidFill>
                <a:schemeClr val="tx1"/>
              </a:solidFill>
            </a:rPr>
            <a:t>Investitionsquote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2013:        5,4 %      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WP 2013: 5,3 %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2012:         5,4 %</a:t>
          </a:r>
        </a:p>
      </dgm:t>
    </dgm:pt>
    <dgm:pt modelId="{5777E168-CD8E-476B-936A-11E799F70B0D}" type="parTrans" cxnId="{606453AE-8829-43AD-A256-8E49372EF47E}">
      <dgm:prSet/>
      <dgm:spPr/>
      <dgm:t>
        <a:bodyPr/>
        <a:lstStyle/>
        <a:p>
          <a:pPr algn="ctr"/>
          <a:endParaRPr lang="de-DE" sz="1000"/>
        </a:p>
      </dgm:t>
    </dgm:pt>
    <dgm:pt modelId="{66E4BBB7-79C8-479F-819B-E5135F6DBEAE}" type="sibTrans" cxnId="{606453AE-8829-43AD-A256-8E49372EF47E}">
      <dgm:prSet/>
      <dgm:spPr/>
      <dgm:t>
        <a:bodyPr/>
        <a:lstStyle/>
        <a:p>
          <a:pPr algn="ctr"/>
          <a:endParaRPr lang="de-DE" sz="1000"/>
        </a:p>
      </dgm:t>
    </dgm:pt>
    <dgm:pt modelId="{5DBFC106-AD0C-419C-8F73-062CA3B670FD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de-DE" sz="1000" b="1">
              <a:solidFill>
                <a:schemeClr val="tx1"/>
              </a:solidFill>
            </a:rPr>
            <a:t>Schmutzwasserentgelt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2013:           1,62 EUR/m³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Kalk. 2013: 1,62 EUR/m³</a:t>
          </a:r>
        </a:p>
        <a:p>
          <a:pPr algn="ctr"/>
          <a:r>
            <a:rPr lang="de-DE" sz="1000" b="0">
              <a:solidFill>
                <a:schemeClr val="tx1"/>
              </a:solidFill>
            </a:rPr>
            <a:t>2012:           1,62 EUR/m³</a:t>
          </a:r>
        </a:p>
      </dgm:t>
    </dgm:pt>
    <dgm:pt modelId="{FFD374A3-AE0B-497E-B297-41F5F62BE2D8}" type="parTrans" cxnId="{3FC1600D-11A2-4B0D-A650-8354A7ECB4D1}">
      <dgm:prSet/>
      <dgm:spPr/>
      <dgm:t>
        <a:bodyPr/>
        <a:lstStyle/>
        <a:p>
          <a:pPr algn="ctr"/>
          <a:endParaRPr lang="de-DE" sz="1000"/>
        </a:p>
      </dgm:t>
    </dgm:pt>
    <dgm:pt modelId="{3910A4F9-8FFF-475C-980D-B8BE0ACAA893}" type="sibTrans" cxnId="{3FC1600D-11A2-4B0D-A650-8354A7ECB4D1}">
      <dgm:prSet/>
      <dgm:spPr/>
      <dgm:t>
        <a:bodyPr/>
        <a:lstStyle/>
        <a:p>
          <a:pPr algn="ctr"/>
          <a:endParaRPr lang="de-DE" sz="1000"/>
        </a:p>
      </dgm:t>
    </dgm:pt>
    <dgm:pt modelId="{6BE7F48A-C2A3-4AE4-9B9C-8DCCE3355CB3}" type="pres">
      <dgm:prSet presAssocID="{117A505B-0002-47F8-9565-DA5E2D613C6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0E58D80-4140-4B9E-81B1-5C482768D629}" type="pres">
      <dgm:prSet presAssocID="{EC2D87B0-E2B5-4413-B737-892AE0A597E0}" presName="node" presStyleLbl="node1" presStyleIdx="0" presStyleCnt="6" custScaleY="78177" custLinFactNeighborY="-7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C4913D9-FC4E-4DE4-B437-706576DF9410}" type="pres">
      <dgm:prSet presAssocID="{EE5FC2B7-C48C-4F75-8FC2-E711DBFA77E3}" presName="sibTrans" presStyleCnt="0"/>
      <dgm:spPr/>
    </dgm:pt>
    <dgm:pt modelId="{C83AA78B-B7F3-481D-A8C4-A172143287C7}" type="pres">
      <dgm:prSet presAssocID="{5DBFC106-AD0C-419C-8F73-062CA3B670FD}" presName="node" presStyleLbl="node1" presStyleIdx="1" presStyleCnt="6" custScaleY="73425" custLinFactNeighborX="0" custLinFactNeighborY="-7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E09C18D-34E9-418B-8DFE-B388518F3470}" type="pres">
      <dgm:prSet presAssocID="{3910A4F9-8FFF-475C-980D-B8BE0ACAA893}" presName="sibTrans" presStyleCnt="0"/>
      <dgm:spPr/>
    </dgm:pt>
    <dgm:pt modelId="{C5D74378-59D1-4D91-B3D0-B9C6DDDC0E50}" type="pres">
      <dgm:prSet presAssocID="{58103102-22F3-4C20-B254-25C10D264015}" presName="node" presStyleLbl="node1" presStyleIdx="2" presStyleCnt="6" custScaleY="74773" custLinFactNeighborX="1384" custLinFactNeighborY="-7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7071ECC-14C0-4F8D-BFBC-12812E53DFD0}" type="pres">
      <dgm:prSet presAssocID="{B5FAD12E-E97D-412A-918B-39F0AA8CA62E}" presName="sibTrans" presStyleCnt="0"/>
      <dgm:spPr/>
    </dgm:pt>
    <dgm:pt modelId="{3C81DAAC-EE9A-4B73-9F51-D71E46A17703}" type="pres">
      <dgm:prSet presAssocID="{0679456C-E36A-476D-B55E-9A1515A777FF}" presName="node" presStyleLbl="node1" presStyleIdx="3" presStyleCnt="6" custScaleY="66751" custLinFactNeighborX="204" custLinFactNeighborY="-1357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B1D1C61-7D97-499E-B9A1-BC4700DEC8AA}" type="pres">
      <dgm:prSet presAssocID="{E78853C3-22A2-458F-8B47-AAFFB0B35CC8}" presName="sibTrans" presStyleCnt="0"/>
      <dgm:spPr/>
    </dgm:pt>
    <dgm:pt modelId="{9611CC50-9B26-4000-B5F7-678E9C7071E8}" type="pres">
      <dgm:prSet presAssocID="{F1946262-03D2-42E1-85D7-697A791BED41}" presName="node" presStyleLbl="node1" presStyleIdx="4" presStyleCnt="6" custScaleY="67006" custLinFactNeighborX="569" custLinFactNeighborY="-1357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71B1DDE-3537-497F-842A-F86327BB6EF0}" type="pres">
      <dgm:prSet presAssocID="{F495AFFC-99AA-4795-BA8A-BB719A84BC9B}" presName="sibTrans" presStyleCnt="0"/>
      <dgm:spPr/>
    </dgm:pt>
    <dgm:pt modelId="{20719F5E-A00E-4A10-9F34-1F5AB5EF4E0C}" type="pres">
      <dgm:prSet presAssocID="{A0A80FDB-4A85-4B1C-A1CA-7DE3073AD188}" presName="node" presStyleLbl="node1" presStyleIdx="5" presStyleCnt="6" custScaleY="67007" custLinFactNeighborX="0" custLinFactNeighborY="-1154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6B6B80B9-C628-4317-B490-40A0E32623DB}" type="presOf" srcId="{F1946262-03D2-42E1-85D7-697A791BED41}" destId="{9611CC50-9B26-4000-B5F7-678E9C7071E8}" srcOrd="0" destOrd="0" presId="urn:microsoft.com/office/officeart/2005/8/layout/default"/>
    <dgm:cxn modelId="{606453AE-8829-43AD-A256-8E49372EF47E}" srcId="{117A505B-0002-47F8-9565-DA5E2D613C6B}" destId="{A0A80FDB-4A85-4B1C-A1CA-7DE3073AD188}" srcOrd="5" destOrd="0" parTransId="{5777E168-CD8E-476B-936A-11E799F70B0D}" sibTransId="{66E4BBB7-79C8-479F-819B-E5135F6DBEAE}"/>
    <dgm:cxn modelId="{1E5A75DC-7BE4-40C3-9D03-1796C8A97F31}" type="presOf" srcId="{5DBFC106-AD0C-419C-8F73-062CA3B670FD}" destId="{C83AA78B-B7F3-481D-A8C4-A172143287C7}" srcOrd="0" destOrd="0" presId="urn:microsoft.com/office/officeart/2005/8/layout/default"/>
    <dgm:cxn modelId="{EF1E1F15-4772-4678-B8D5-009055BB768C}" srcId="{117A505B-0002-47F8-9565-DA5E2D613C6B}" destId="{F1946262-03D2-42E1-85D7-697A791BED41}" srcOrd="4" destOrd="0" parTransId="{62BAD0EC-FC5E-456E-86C5-348BE07264DA}" sibTransId="{F495AFFC-99AA-4795-BA8A-BB719A84BC9B}"/>
    <dgm:cxn modelId="{FD64B620-8198-4A78-9D79-33514914826B}" type="presOf" srcId="{0679456C-E36A-476D-B55E-9A1515A777FF}" destId="{3C81DAAC-EE9A-4B73-9F51-D71E46A17703}" srcOrd="0" destOrd="0" presId="urn:microsoft.com/office/officeart/2005/8/layout/default"/>
    <dgm:cxn modelId="{AE2ADD8A-4DAF-4BD8-B9F6-808EB6586478}" type="presOf" srcId="{58103102-22F3-4C20-B254-25C10D264015}" destId="{C5D74378-59D1-4D91-B3D0-B9C6DDDC0E50}" srcOrd="0" destOrd="0" presId="urn:microsoft.com/office/officeart/2005/8/layout/default"/>
    <dgm:cxn modelId="{3FC1600D-11A2-4B0D-A650-8354A7ECB4D1}" srcId="{117A505B-0002-47F8-9565-DA5E2D613C6B}" destId="{5DBFC106-AD0C-419C-8F73-062CA3B670FD}" srcOrd="1" destOrd="0" parTransId="{FFD374A3-AE0B-497E-B297-41F5F62BE2D8}" sibTransId="{3910A4F9-8FFF-475C-980D-B8BE0ACAA893}"/>
    <dgm:cxn modelId="{35A06388-3453-448C-905B-E9AA55576889}" type="presOf" srcId="{A0A80FDB-4A85-4B1C-A1CA-7DE3073AD188}" destId="{20719F5E-A00E-4A10-9F34-1F5AB5EF4E0C}" srcOrd="0" destOrd="0" presId="urn:microsoft.com/office/officeart/2005/8/layout/default"/>
    <dgm:cxn modelId="{FA61C276-0F4B-4854-BE50-95BA56ABA1E0}" type="presOf" srcId="{117A505B-0002-47F8-9565-DA5E2D613C6B}" destId="{6BE7F48A-C2A3-4AE4-9B9C-8DCCE3355CB3}" srcOrd="0" destOrd="0" presId="urn:microsoft.com/office/officeart/2005/8/layout/default"/>
    <dgm:cxn modelId="{36B52724-D466-48E1-9DC4-DF5596C08873}" srcId="{117A505B-0002-47F8-9565-DA5E2D613C6B}" destId="{58103102-22F3-4C20-B254-25C10D264015}" srcOrd="2" destOrd="0" parTransId="{71D96A38-0D47-42A5-991E-D0C06FD946B7}" sibTransId="{B5FAD12E-E97D-412A-918B-39F0AA8CA62E}"/>
    <dgm:cxn modelId="{7AB5B9B2-08A5-4DC5-9F42-79AA01A5261B}" srcId="{117A505B-0002-47F8-9565-DA5E2D613C6B}" destId="{EC2D87B0-E2B5-4413-B737-892AE0A597E0}" srcOrd="0" destOrd="0" parTransId="{9DA445A5-1433-4B57-9FA7-C07D53D047A5}" sibTransId="{EE5FC2B7-C48C-4F75-8FC2-E711DBFA77E3}"/>
    <dgm:cxn modelId="{4872E194-D63E-46C2-9E6A-6241DCFEA6F3}" srcId="{117A505B-0002-47F8-9565-DA5E2D613C6B}" destId="{0679456C-E36A-476D-B55E-9A1515A777FF}" srcOrd="3" destOrd="0" parTransId="{C08C4617-EAB1-4189-9DA7-B7B4CD36E188}" sibTransId="{E78853C3-22A2-458F-8B47-AAFFB0B35CC8}"/>
    <dgm:cxn modelId="{00BA6A36-17E7-45F9-8D59-A5A2FC2AB9E2}" type="presOf" srcId="{EC2D87B0-E2B5-4413-B737-892AE0A597E0}" destId="{A0E58D80-4140-4B9E-81B1-5C482768D629}" srcOrd="0" destOrd="0" presId="urn:microsoft.com/office/officeart/2005/8/layout/default"/>
    <dgm:cxn modelId="{B8565F5E-A495-484E-B266-0D43DCA4C333}" type="presParOf" srcId="{6BE7F48A-C2A3-4AE4-9B9C-8DCCE3355CB3}" destId="{A0E58D80-4140-4B9E-81B1-5C482768D629}" srcOrd="0" destOrd="0" presId="urn:microsoft.com/office/officeart/2005/8/layout/default"/>
    <dgm:cxn modelId="{79A395F6-933F-4A02-8695-0A902C7E89B9}" type="presParOf" srcId="{6BE7F48A-C2A3-4AE4-9B9C-8DCCE3355CB3}" destId="{3C4913D9-FC4E-4DE4-B437-706576DF9410}" srcOrd="1" destOrd="0" presId="urn:microsoft.com/office/officeart/2005/8/layout/default"/>
    <dgm:cxn modelId="{5CAAFE3A-8608-47EF-AEA3-32E5F5494353}" type="presParOf" srcId="{6BE7F48A-C2A3-4AE4-9B9C-8DCCE3355CB3}" destId="{C83AA78B-B7F3-481D-A8C4-A172143287C7}" srcOrd="2" destOrd="0" presId="urn:microsoft.com/office/officeart/2005/8/layout/default"/>
    <dgm:cxn modelId="{D4350EC0-46B2-471A-8138-7E4A747F311F}" type="presParOf" srcId="{6BE7F48A-C2A3-4AE4-9B9C-8DCCE3355CB3}" destId="{0E09C18D-34E9-418B-8DFE-B388518F3470}" srcOrd="3" destOrd="0" presId="urn:microsoft.com/office/officeart/2005/8/layout/default"/>
    <dgm:cxn modelId="{7CC5B036-B00B-420E-8552-49284E7BA9B2}" type="presParOf" srcId="{6BE7F48A-C2A3-4AE4-9B9C-8DCCE3355CB3}" destId="{C5D74378-59D1-4D91-B3D0-B9C6DDDC0E50}" srcOrd="4" destOrd="0" presId="urn:microsoft.com/office/officeart/2005/8/layout/default"/>
    <dgm:cxn modelId="{2951D77A-1DA4-497D-92C1-0A80ADD84BC7}" type="presParOf" srcId="{6BE7F48A-C2A3-4AE4-9B9C-8DCCE3355CB3}" destId="{D7071ECC-14C0-4F8D-BFBC-12812E53DFD0}" srcOrd="5" destOrd="0" presId="urn:microsoft.com/office/officeart/2005/8/layout/default"/>
    <dgm:cxn modelId="{1AF469E4-E121-46BC-90BA-4BB1A8983CAB}" type="presParOf" srcId="{6BE7F48A-C2A3-4AE4-9B9C-8DCCE3355CB3}" destId="{3C81DAAC-EE9A-4B73-9F51-D71E46A17703}" srcOrd="6" destOrd="0" presId="urn:microsoft.com/office/officeart/2005/8/layout/default"/>
    <dgm:cxn modelId="{502F8BA0-2F3E-4E37-A17A-465EC8F7D165}" type="presParOf" srcId="{6BE7F48A-C2A3-4AE4-9B9C-8DCCE3355CB3}" destId="{6B1D1C61-7D97-499E-B9A1-BC4700DEC8AA}" srcOrd="7" destOrd="0" presId="urn:microsoft.com/office/officeart/2005/8/layout/default"/>
    <dgm:cxn modelId="{3E404616-FB08-4BDD-A822-DF7744908D62}" type="presParOf" srcId="{6BE7F48A-C2A3-4AE4-9B9C-8DCCE3355CB3}" destId="{9611CC50-9B26-4000-B5F7-678E9C7071E8}" srcOrd="8" destOrd="0" presId="urn:microsoft.com/office/officeart/2005/8/layout/default"/>
    <dgm:cxn modelId="{B13AFB95-8E1B-47B1-BF09-D300E7EB2C4B}" type="presParOf" srcId="{6BE7F48A-C2A3-4AE4-9B9C-8DCCE3355CB3}" destId="{771B1DDE-3537-497F-842A-F86327BB6EF0}" srcOrd="9" destOrd="0" presId="urn:microsoft.com/office/officeart/2005/8/layout/default"/>
    <dgm:cxn modelId="{C8F7BB79-C87E-4520-B079-F6108CB91064}" type="presParOf" srcId="{6BE7F48A-C2A3-4AE4-9B9C-8DCCE3355CB3}" destId="{20719F5E-A00E-4A10-9F34-1F5AB5EF4E0C}" srcOrd="10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E58D80-4140-4B9E-81B1-5C482768D629}">
      <dsp:nvSpPr>
        <dsp:cNvPr id="0" name=""/>
        <dsp:cNvSpPr/>
      </dsp:nvSpPr>
      <dsp:spPr>
        <a:xfrm>
          <a:off x="0" y="109877"/>
          <a:ext cx="1851421" cy="86843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chemeClr val="tx1"/>
              </a:solidFill>
            </a:rPr>
            <a:t>Veranlagte Abwassermenge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chemeClr val="tx1"/>
              </a:solidFill>
            </a:rPr>
            <a:t>2013:           34,8 Mio. m³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chemeClr val="tx1"/>
              </a:solidFill>
            </a:rPr>
            <a:t>Kalk. 2013: 35,0 Mio. m³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chemeClr val="tx1"/>
              </a:solidFill>
            </a:rPr>
            <a:t>2012:           35,6 Mio. m³</a:t>
          </a:r>
        </a:p>
      </dsp:txBody>
      <dsp:txXfrm>
        <a:off x="0" y="109877"/>
        <a:ext cx="1851421" cy="868431"/>
      </dsp:txXfrm>
    </dsp:sp>
    <dsp:sp modelId="{C83AA78B-B7F3-481D-A8C4-A172143287C7}">
      <dsp:nvSpPr>
        <dsp:cNvPr id="0" name=""/>
        <dsp:cNvSpPr/>
      </dsp:nvSpPr>
      <dsp:spPr>
        <a:xfrm>
          <a:off x="2036564" y="136271"/>
          <a:ext cx="1851421" cy="81564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chemeClr val="tx1"/>
              </a:solidFill>
            </a:rPr>
            <a:t>Schmutzwasserentgelt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2013:           1,62 EUR/m³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Kalk. 2013: 1,62 EUR/m³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2012:           1,62 EUR/m³</a:t>
          </a:r>
        </a:p>
      </dsp:txBody>
      <dsp:txXfrm>
        <a:off x="2036564" y="136271"/>
        <a:ext cx="1851421" cy="815643"/>
      </dsp:txXfrm>
    </dsp:sp>
    <dsp:sp modelId="{C5D74378-59D1-4D91-B3D0-B9C6DDDC0E50}">
      <dsp:nvSpPr>
        <dsp:cNvPr id="0" name=""/>
        <dsp:cNvSpPr/>
      </dsp:nvSpPr>
      <dsp:spPr>
        <a:xfrm>
          <a:off x="4073128" y="128784"/>
          <a:ext cx="1851421" cy="83061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chemeClr val="tx1"/>
              </a:solidFill>
            </a:rPr>
            <a:t>Niederschlagswassergebühr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2013:           0,61 EUR/m²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Kalk. 2013: 0,61 EUR/m²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2012:           0,57 EUR/m²</a:t>
          </a:r>
        </a:p>
      </dsp:txBody>
      <dsp:txXfrm>
        <a:off x="4073128" y="128784"/>
        <a:ext cx="1851421" cy="830618"/>
      </dsp:txXfrm>
    </dsp:sp>
    <dsp:sp modelId="{3C81DAAC-EE9A-4B73-9F51-D71E46A17703}">
      <dsp:nvSpPr>
        <dsp:cNvPr id="0" name=""/>
        <dsp:cNvSpPr/>
      </dsp:nvSpPr>
      <dsp:spPr>
        <a:xfrm>
          <a:off x="3776" y="1014841"/>
          <a:ext cx="1851421" cy="74150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chemeClr val="tx1"/>
              </a:solidFill>
            </a:rPr>
            <a:t>Gesamtaufwendungen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2013:           108,40 Mio. EUR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Kalk. 2013: 107,76 Mio. EUR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2012:           107,46 Mio. EUR</a:t>
          </a:r>
        </a:p>
      </dsp:txBody>
      <dsp:txXfrm>
        <a:off x="3776" y="1014841"/>
        <a:ext cx="1851421" cy="741505"/>
      </dsp:txXfrm>
    </dsp:sp>
    <dsp:sp modelId="{9611CC50-9B26-4000-B5F7-678E9C7071E8}">
      <dsp:nvSpPr>
        <dsp:cNvPr id="0" name=""/>
        <dsp:cNvSpPr/>
      </dsp:nvSpPr>
      <dsp:spPr>
        <a:xfrm>
          <a:off x="2047098" y="1013425"/>
          <a:ext cx="1851421" cy="74433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chemeClr val="tx1"/>
              </a:solidFill>
            </a:rPr>
            <a:t>Gesamterträge (</a:t>
          </a:r>
          <a:r>
            <a:rPr lang="de-DE" sz="800" b="1" kern="1200">
              <a:solidFill>
                <a:schemeClr val="tx1"/>
              </a:solidFill>
            </a:rPr>
            <a:t>vor Buch. Kostenüb</a:t>
          </a:r>
          <a:r>
            <a:rPr lang="de-DE" sz="1000" b="1" kern="1200">
              <a:solidFill>
                <a:schemeClr val="tx1"/>
              </a:solidFill>
            </a:rPr>
            <a:t>.)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 2013:          114,85 Mio. EUR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Kalk. 2013: 114,00 Mio. EUR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2012:           114,38 Mio. EUR</a:t>
          </a:r>
        </a:p>
      </dsp:txBody>
      <dsp:txXfrm>
        <a:off x="2047098" y="1013425"/>
        <a:ext cx="1851421" cy="744338"/>
      </dsp:txXfrm>
    </dsp:sp>
    <dsp:sp modelId="{20719F5E-A00E-4A10-9F34-1F5AB5EF4E0C}">
      <dsp:nvSpPr>
        <dsp:cNvPr id="0" name=""/>
        <dsp:cNvSpPr/>
      </dsp:nvSpPr>
      <dsp:spPr>
        <a:xfrm>
          <a:off x="4073128" y="1036047"/>
          <a:ext cx="1851421" cy="74434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chemeClr val="tx1"/>
              </a:solidFill>
            </a:rPr>
            <a:t>Investitionsquote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2013:        5,4 %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WP 2013: 5,3 %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>
              <a:solidFill>
                <a:schemeClr val="tx1"/>
              </a:solidFill>
            </a:rPr>
            <a:t>2012:         5,4 %</a:t>
          </a:r>
        </a:p>
      </dsp:txBody>
      <dsp:txXfrm>
        <a:off x="4073128" y="1036047"/>
        <a:ext cx="1851421" cy="744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2561-0F58-4634-8A72-0FA31C39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2583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Lagebericht</vt:lpstr>
    </vt:vector>
  </TitlesOfParts>
  <Company>Tiefbauamt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Lagebericht</dc:title>
  <dc:creator>endrich</dc:creator>
  <cp:lastModifiedBy>u660k04</cp:lastModifiedBy>
  <cp:revision>4</cp:revision>
  <cp:lastPrinted>2014-06-04T07:04:00Z</cp:lastPrinted>
  <dcterms:created xsi:type="dcterms:W3CDTF">2014-06-12T10:20:00Z</dcterms:created>
  <dcterms:modified xsi:type="dcterms:W3CDTF">2014-08-28T14:16:00Z</dcterms:modified>
</cp:coreProperties>
</file>