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473388">
        <w:t>1</w:t>
      </w:r>
      <w:r w:rsidR="00BE4E47">
        <w:t>0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473388">
        <w:t>707</w:t>
      </w:r>
      <w:r w:rsidR="005F5B3D">
        <w:t>/20</w:t>
      </w:r>
      <w:r w:rsidR="00AE7B02">
        <w:t>21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33AAA">
        <w:rPr>
          <w:b/>
          <w:sz w:val="36"/>
          <w:szCs w:val="36"/>
          <w:u w:val="single"/>
        </w:rPr>
        <w:t>2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081E5E" w:rsidRDefault="00687640" w:rsidP="0030686C">
            <w:pPr>
              <w:rPr>
                <w:sz w:val="20"/>
              </w:rPr>
            </w:pPr>
            <w:r>
              <w:rPr>
                <w:sz w:val="20"/>
              </w:rPr>
              <w:t>66-8.11</w:t>
            </w:r>
            <w:r w:rsidR="00081E5E">
              <w:rPr>
                <w:sz w:val="20"/>
              </w:rPr>
              <w:t xml:space="preserve"> </w:t>
            </w:r>
          </w:p>
          <w:p w:rsidR="00687640" w:rsidRDefault="00687640" w:rsidP="0030686C">
            <w:pPr>
              <w:rPr>
                <w:sz w:val="20"/>
              </w:rPr>
            </w:pPr>
          </w:p>
          <w:p w:rsidR="00687640" w:rsidRDefault="00687640" w:rsidP="0030686C">
            <w:pPr>
              <w:rPr>
                <w:sz w:val="20"/>
              </w:rPr>
            </w:pPr>
            <w:r w:rsidRPr="00081E5E">
              <w:rPr>
                <w:sz w:val="20"/>
              </w:rPr>
              <w:t>6608</w:t>
            </w:r>
            <w:r w:rsidR="000B2FDF">
              <w:rPr>
                <w:sz w:val="20"/>
              </w:rPr>
              <w:t xml:space="preserve"> </w:t>
            </w:r>
            <w:r w:rsidRPr="00081E5E">
              <w:rPr>
                <w:sz w:val="20"/>
              </w:rPr>
              <w:t xml:space="preserve">1100 </w:t>
            </w:r>
          </w:p>
          <w:p w:rsidR="005F5B3D" w:rsidRPr="006E0575" w:rsidRDefault="005F5B3D" w:rsidP="0068764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47E7C" w:rsidP="0030686C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B7C4C" w:rsidP="0030686C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473388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47E7C" w:rsidP="000B2FDF">
            <w:pPr>
              <w:rPr>
                <w:sz w:val="20"/>
              </w:rPr>
            </w:pPr>
            <w:r>
              <w:rPr>
                <w:sz w:val="20"/>
              </w:rPr>
              <w:t>Ingenieur</w:t>
            </w:r>
            <w:r w:rsidR="000B2FDF">
              <w:rPr>
                <w:sz w:val="20"/>
              </w:rPr>
              <w:t>/-i</w:t>
            </w:r>
            <w:r w:rsidR="00687640">
              <w:rPr>
                <w:sz w:val="20"/>
              </w:rPr>
              <w:t>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87640" w:rsidP="0030686C">
            <w:pPr>
              <w:rPr>
                <w:sz w:val="20"/>
              </w:rPr>
            </w:pPr>
            <w:r w:rsidRPr="00687640">
              <w:rPr>
                <w:sz w:val="20"/>
              </w:rPr>
              <w:t>1</w:t>
            </w:r>
            <w:r w:rsidR="00747E7C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87640" w:rsidP="0030686C">
            <w:pPr>
              <w:rPr>
                <w:sz w:val="20"/>
              </w:rPr>
            </w:pPr>
            <w:r>
              <w:rPr>
                <w:sz w:val="20"/>
              </w:rPr>
              <w:t>KW 01/2028</w:t>
            </w:r>
          </w:p>
        </w:tc>
        <w:tc>
          <w:tcPr>
            <w:tcW w:w="1417" w:type="dxa"/>
          </w:tcPr>
          <w:p w:rsidR="005F5B3D" w:rsidRDefault="005F5B3D" w:rsidP="00E47D76">
            <w:pPr>
              <w:rPr>
                <w:sz w:val="20"/>
              </w:rPr>
            </w:pPr>
          </w:p>
          <w:p w:rsidR="00473388" w:rsidRPr="006E0575" w:rsidRDefault="00473388" w:rsidP="00E47D76">
            <w:pPr>
              <w:rPr>
                <w:sz w:val="20"/>
              </w:rPr>
            </w:pPr>
            <w:r>
              <w:rPr>
                <w:sz w:val="20"/>
              </w:rPr>
              <w:t>77.400</w:t>
            </w:r>
          </w:p>
        </w:tc>
      </w:tr>
      <w:tr w:rsidR="00687640" w:rsidRPr="006E0575" w:rsidTr="00DE362D">
        <w:tc>
          <w:tcPr>
            <w:tcW w:w="1814" w:type="dxa"/>
          </w:tcPr>
          <w:p w:rsidR="00687640" w:rsidRDefault="00687640" w:rsidP="00687640">
            <w:pPr>
              <w:rPr>
                <w:sz w:val="20"/>
              </w:rPr>
            </w:pPr>
          </w:p>
          <w:p w:rsidR="00687640" w:rsidRDefault="00687640" w:rsidP="00687640">
            <w:pPr>
              <w:rPr>
                <w:sz w:val="20"/>
              </w:rPr>
            </w:pPr>
            <w:r>
              <w:rPr>
                <w:sz w:val="20"/>
              </w:rPr>
              <w:t>66-9.11</w:t>
            </w:r>
          </w:p>
          <w:p w:rsidR="00687640" w:rsidRDefault="00687640" w:rsidP="00687640">
            <w:pPr>
              <w:rPr>
                <w:sz w:val="20"/>
              </w:rPr>
            </w:pPr>
          </w:p>
          <w:p w:rsidR="00687640" w:rsidRDefault="00687640" w:rsidP="00687640">
            <w:pPr>
              <w:rPr>
                <w:sz w:val="20"/>
              </w:rPr>
            </w:pPr>
            <w:r w:rsidRPr="00081E5E">
              <w:rPr>
                <w:sz w:val="20"/>
              </w:rPr>
              <w:t>6609</w:t>
            </w:r>
            <w:r w:rsidR="000B2FDF">
              <w:rPr>
                <w:sz w:val="20"/>
              </w:rPr>
              <w:t xml:space="preserve"> </w:t>
            </w:r>
            <w:r w:rsidRPr="00081E5E">
              <w:rPr>
                <w:sz w:val="20"/>
              </w:rPr>
              <w:t>6130</w:t>
            </w:r>
          </w:p>
          <w:p w:rsidR="00687640" w:rsidRDefault="00687640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87640" w:rsidRDefault="00687640" w:rsidP="0030686C">
            <w:pPr>
              <w:rPr>
                <w:sz w:val="20"/>
              </w:rPr>
            </w:pPr>
          </w:p>
          <w:p w:rsidR="00687640" w:rsidRDefault="00687640" w:rsidP="0030686C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687640" w:rsidRDefault="00687640" w:rsidP="0030686C">
            <w:pPr>
              <w:rPr>
                <w:sz w:val="20"/>
              </w:rPr>
            </w:pPr>
          </w:p>
          <w:p w:rsidR="00687640" w:rsidRDefault="00DB7C4C" w:rsidP="0030686C">
            <w:pPr>
              <w:rPr>
                <w:sz w:val="20"/>
              </w:rPr>
            </w:pPr>
            <w:r>
              <w:rPr>
                <w:sz w:val="20"/>
              </w:rPr>
              <w:t>EG</w:t>
            </w:r>
            <w:r w:rsidR="00473388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1928" w:type="dxa"/>
          </w:tcPr>
          <w:p w:rsidR="00687640" w:rsidRDefault="00687640" w:rsidP="0030686C">
            <w:pPr>
              <w:rPr>
                <w:sz w:val="20"/>
              </w:rPr>
            </w:pPr>
          </w:p>
          <w:p w:rsidR="00687640" w:rsidRDefault="000B2FDF" w:rsidP="0030686C">
            <w:pPr>
              <w:rPr>
                <w:sz w:val="20"/>
              </w:rPr>
            </w:pPr>
            <w:r>
              <w:rPr>
                <w:sz w:val="20"/>
              </w:rPr>
              <w:t>Ingenieur/-</w:t>
            </w:r>
            <w:r w:rsidR="00687640">
              <w:rPr>
                <w:sz w:val="20"/>
              </w:rPr>
              <w:t>in</w:t>
            </w:r>
          </w:p>
        </w:tc>
        <w:tc>
          <w:tcPr>
            <w:tcW w:w="737" w:type="dxa"/>
            <w:shd w:val="pct12" w:color="auto" w:fill="FFFFFF"/>
          </w:tcPr>
          <w:p w:rsidR="00687640" w:rsidRDefault="00687640" w:rsidP="0030686C">
            <w:pPr>
              <w:rPr>
                <w:sz w:val="20"/>
              </w:rPr>
            </w:pPr>
          </w:p>
          <w:p w:rsidR="00687640" w:rsidRPr="00687640" w:rsidRDefault="00687640" w:rsidP="0030686C">
            <w:pPr>
              <w:rPr>
                <w:sz w:val="20"/>
              </w:rPr>
            </w:pPr>
            <w:r w:rsidRPr="00687640"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687640" w:rsidRDefault="00687640" w:rsidP="0030686C">
            <w:pPr>
              <w:rPr>
                <w:sz w:val="20"/>
              </w:rPr>
            </w:pPr>
          </w:p>
          <w:p w:rsidR="00687640" w:rsidRDefault="00687640" w:rsidP="0030686C">
            <w:pPr>
              <w:rPr>
                <w:sz w:val="20"/>
              </w:rPr>
            </w:pPr>
            <w:r>
              <w:rPr>
                <w:sz w:val="20"/>
              </w:rPr>
              <w:t>KW 01/2028</w:t>
            </w:r>
          </w:p>
        </w:tc>
        <w:tc>
          <w:tcPr>
            <w:tcW w:w="1417" w:type="dxa"/>
          </w:tcPr>
          <w:p w:rsidR="00687640" w:rsidRDefault="00687640" w:rsidP="00E47D76">
            <w:pPr>
              <w:rPr>
                <w:sz w:val="20"/>
              </w:rPr>
            </w:pPr>
          </w:p>
          <w:p w:rsidR="00473388" w:rsidRPr="006E0575" w:rsidRDefault="00473388" w:rsidP="00E47D76">
            <w:pPr>
              <w:rPr>
                <w:sz w:val="20"/>
              </w:rPr>
            </w:pPr>
            <w:r>
              <w:rPr>
                <w:sz w:val="20"/>
              </w:rPr>
              <w:t>77.400</w:t>
            </w:r>
          </w:p>
        </w:tc>
      </w:tr>
      <w:tr w:rsidR="00687640" w:rsidRPr="006E0575" w:rsidTr="00DE362D">
        <w:tc>
          <w:tcPr>
            <w:tcW w:w="1814" w:type="dxa"/>
          </w:tcPr>
          <w:p w:rsidR="00687640" w:rsidRDefault="00687640" w:rsidP="00687640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87640" w:rsidRDefault="00687640" w:rsidP="0030686C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687640" w:rsidRDefault="00687640" w:rsidP="0030686C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687640" w:rsidRPr="00687640" w:rsidRDefault="00687640" w:rsidP="003068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</w:t>
            </w:r>
          </w:p>
        </w:tc>
        <w:tc>
          <w:tcPr>
            <w:tcW w:w="737" w:type="dxa"/>
            <w:shd w:val="pct12" w:color="auto" w:fill="FFFFFF"/>
          </w:tcPr>
          <w:p w:rsidR="00687640" w:rsidRPr="00687640" w:rsidRDefault="00687640" w:rsidP="0030686C">
            <w:pPr>
              <w:rPr>
                <w:b/>
                <w:sz w:val="20"/>
              </w:rPr>
            </w:pPr>
            <w:r w:rsidRPr="00687640">
              <w:rPr>
                <w:b/>
                <w:sz w:val="20"/>
              </w:rPr>
              <w:t>2,0</w:t>
            </w:r>
          </w:p>
        </w:tc>
        <w:tc>
          <w:tcPr>
            <w:tcW w:w="1134" w:type="dxa"/>
          </w:tcPr>
          <w:p w:rsidR="00687640" w:rsidRDefault="00687640" w:rsidP="0030686C">
            <w:pPr>
              <w:rPr>
                <w:sz w:val="20"/>
              </w:rPr>
            </w:pPr>
          </w:p>
        </w:tc>
        <w:tc>
          <w:tcPr>
            <w:tcW w:w="1417" w:type="dxa"/>
          </w:tcPr>
          <w:p w:rsidR="00687640" w:rsidRPr="006E0575" w:rsidRDefault="00687640" w:rsidP="00E47D76">
            <w:pPr>
              <w:rPr>
                <w:sz w:val="20"/>
              </w:rPr>
            </w:pP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747E7C" w:rsidRDefault="00473388" w:rsidP="00747E7C">
      <w:pPr>
        <w:tabs>
          <w:tab w:val="left" w:pos="1985"/>
          <w:tab w:val="left" w:pos="4536"/>
          <w:tab w:val="right" w:pos="8505"/>
        </w:tabs>
      </w:pPr>
      <w:r>
        <w:t>Geschaffen</w:t>
      </w:r>
      <w:r w:rsidR="00081E5E">
        <w:t xml:space="preserve"> werden </w:t>
      </w:r>
      <w:r w:rsidR="00687640">
        <w:t xml:space="preserve">insgesamt </w:t>
      </w:r>
      <w:r w:rsidR="00081E5E">
        <w:t>2,0 Stell</w:t>
      </w:r>
      <w:r w:rsidR="00DB7C4C">
        <w:t>en der EG 11</w:t>
      </w:r>
      <w:r w:rsidR="002445EA">
        <w:t xml:space="preserve"> TVöD für Ingenieur</w:t>
      </w:r>
      <w:r w:rsidR="000B2FDF">
        <w:t>e/-</w:t>
      </w:r>
      <w:r w:rsidR="00081E5E">
        <w:t xml:space="preserve">innen in den Sachgebieten </w:t>
      </w:r>
      <w:r w:rsidR="00081E5E" w:rsidRPr="00081E5E">
        <w:t>Qualitätsmanagement bei de</w:t>
      </w:r>
      <w:r w:rsidR="00081E5E">
        <w:t>n</w:t>
      </w:r>
      <w:r w:rsidR="00081E5E" w:rsidRPr="00081E5E">
        <w:t xml:space="preserve"> Bauabteilungen Mitte/Nord (66-8.11) und Neckar/</w:t>
      </w:r>
      <w:proofErr w:type="spellStart"/>
      <w:r w:rsidR="00081E5E" w:rsidRPr="00081E5E">
        <w:t>F</w:t>
      </w:r>
      <w:r w:rsidR="00081E5E">
        <w:t>ilder</w:t>
      </w:r>
      <w:proofErr w:type="spellEnd"/>
      <w:r w:rsidR="00081E5E">
        <w:t xml:space="preserve"> (66-9.11) des Tiefbauamts</w:t>
      </w:r>
      <w:r w:rsidR="00687640">
        <w:t xml:space="preserve"> z</w:t>
      </w:r>
      <w:r w:rsidR="00747E7C">
        <w:t>ur Verbesserung und Weiterentwicklung des Baustellenmanagement</w:t>
      </w:r>
      <w:r w:rsidR="001C2EF1">
        <w:t>s</w:t>
      </w:r>
      <w:r w:rsidR="00CE1951">
        <w:t xml:space="preserve"> im Zusammenhang mit der Bearbeitung und Betreuung des </w:t>
      </w:r>
      <w:bookmarkStart w:id="0" w:name="_GoBack"/>
      <w:bookmarkEnd w:id="0"/>
      <w:r w:rsidR="00CE1951">
        <w:t>Breitbandausbau</w:t>
      </w:r>
      <w:r w:rsidR="000B2FDF">
        <w:t>s (Gigabit-</w:t>
      </w:r>
      <w:r w:rsidR="00687640">
        <w:t>Region Stuttgart), einschließlich</w:t>
      </w:r>
      <w:r w:rsidR="00940708">
        <w:t xml:space="preserve"> </w:t>
      </w:r>
      <w:r w:rsidR="00687640">
        <w:t xml:space="preserve">der Öffentlichkeitsarbeit. </w:t>
      </w:r>
      <w:r w:rsidR="00747E7C">
        <w:t>(Baustelle</w:t>
      </w:r>
      <w:r w:rsidR="00AD7DAE">
        <w:t>nkalender, Bürgerinformation,</w:t>
      </w:r>
      <w:r w:rsidR="00747E7C">
        <w:t xml:space="preserve"> Bü</w:t>
      </w:r>
      <w:r w:rsidR="00687640">
        <w:t xml:space="preserve">rgeranfragen). </w:t>
      </w:r>
      <w:r w:rsidR="00567689">
        <w:t>Die Stellen werden befristet auf 31.12.2027.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2126FB" w:rsidRPr="00505A7C" w:rsidRDefault="002126FB" w:rsidP="002126FB">
      <w:pPr>
        <w:jc w:val="both"/>
        <w:rPr>
          <w:rFonts w:cs="Arial"/>
        </w:rPr>
      </w:pPr>
      <w:r w:rsidRPr="00505A7C">
        <w:rPr>
          <w:rFonts w:cs="Arial"/>
        </w:rPr>
        <w:t>Es ist eine erhebliche Arbeitsvermehrung zu verzeichnen, außerdem ist die entsprechende Stellenschaffung in der „Grünen Liste“ enthalten.</w:t>
      </w:r>
    </w:p>
    <w:p w:rsidR="002126FB" w:rsidRPr="00505A7C" w:rsidRDefault="002126FB" w:rsidP="00884D6C"/>
    <w:p w:rsidR="003D7B0B" w:rsidRDefault="004A74B6" w:rsidP="00970FB1">
      <w:pPr>
        <w:pStyle w:val="berschrift1"/>
        <w:ind w:left="0" w:firstLine="0"/>
      </w:pPr>
      <w:r>
        <w:t xml:space="preserve">3 </w:t>
      </w:r>
      <w:r w:rsidR="003D7B0B"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504341" w:rsidRDefault="00504341" w:rsidP="00504341">
      <w:pPr>
        <w:rPr>
          <w:b/>
        </w:rPr>
      </w:pPr>
      <w:r>
        <w:rPr>
          <w:b/>
        </w:rPr>
        <w:t>Breitbandausbau</w:t>
      </w:r>
    </w:p>
    <w:p w:rsidR="006D61A9" w:rsidRDefault="005D0089" w:rsidP="006D61A9">
      <w:pPr>
        <w:ind w:right="140"/>
        <w:rPr>
          <w:rFonts w:cs="Arial"/>
        </w:rPr>
      </w:pPr>
      <w:r>
        <w:t xml:space="preserve">Die Stadt Stuttgart hat sich verpflichtet, bis 2025 </w:t>
      </w:r>
      <w:r w:rsidRPr="00F34907">
        <w:rPr>
          <w:rFonts w:cs="Arial"/>
        </w:rPr>
        <w:t xml:space="preserve">alle Industrie-, Dienstleistungsunternehmen und Gewerbe mit </w:t>
      </w:r>
      <w:r>
        <w:rPr>
          <w:rFonts w:cs="Arial"/>
        </w:rPr>
        <w:t xml:space="preserve">einem gigabitfähigen </w:t>
      </w:r>
      <w:r w:rsidRPr="00F34907">
        <w:rPr>
          <w:rFonts w:cs="Arial"/>
        </w:rPr>
        <w:t>Glasfaser</w:t>
      </w:r>
      <w:r>
        <w:rPr>
          <w:rFonts w:cs="Arial"/>
        </w:rPr>
        <w:t>anschluss</w:t>
      </w:r>
      <w:r w:rsidRPr="00F34907">
        <w:rPr>
          <w:rFonts w:cs="Arial"/>
        </w:rPr>
        <w:t xml:space="preserve"> </w:t>
      </w:r>
      <w:r>
        <w:rPr>
          <w:rFonts w:cs="Arial"/>
        </w:rPr>
        <w:t>zu versorgen</w:t>
      </w:r>
      <w:r w:rsidRPr="00F34907">
        <w:rPr>
          <w:rFonts w:cs="Arial"/>
        </w:rPr>
        <w:t xml:space="preserve">. Ebenso </w:t>
      </w:r>
      <w:r>
        <w:rPr>
          <w:rFonts w:cs="Arial"/>
        </w:rPr>
        <w:t>sollen</w:t>
      </w:r>
      <w:r w:rsidRPr="00F34907">
        <w:rPr>
          <w:rFonts w:cs="Arial"/>
        </w:rPr>
        <w:t xml:space="preserve"> bis 2030 insgesamt 90</w:t>
      </w:r>
      <w:r>
        <w:rPr>
          <w:rFonts w:cs="Arial"/>
        </w:rPr>
        <w:t xml:space="preserve"> </w:t>
      </w:r>
      <w:r w:rsidRPr="00F34907">
        <w:rPr>
          <w:rFonts w:cs="Arial"/>
        </w:rPr>
        <w:t xml:space="preserve">% </w:t>
      </w:r>
      <w:r>
        <w:rPr>
          <w:rFonts w:cs="Arial"/>
        </w:rPr>
        <w:t>aller Haushalte vom Angebot eines</w:t>
      </w:r>
      <w:r w:rsidRPr="00F34907">
        <w:rPr>
          <w:rFonts w:cs="Arial"/>
        </w:rPr>
        <w:t xml:space="preserve"> gigabitfähigen glas</w:t>
      </w:r>
      <w:r>
        <w:rPr>
          <w:rFonts w:cs="Arial"/>
        </w:rPr>
        <w:t>f</w:t>
      </w:r>
      <w:r w:rsidRPr="00F34907">
        <w:rPr>
          <w:rFonts w:cs="Arial"/>
        </w:rPr>
        <w:t>aserbasierten Anschluss</w:t>
      </w:r>
      <w:r>
        <w:rPr>
          <w:rFonts w:cs="Arial"/>
        </w:rPr>
        <w:t>es</w:t>
      </w:r>
      <w:r w:rsidRPr="00F34907">
        <w:rPr>
          <w:rFonts w:cs="Arial"/>
        </w:rPr>
        <w:t xml:space="preserve"> profitieren.</w:t>
      </w:r>
      <w:r w:rsidR="006D61A9" w:rsidRPr="006D61A9">
        <w:rPr>
          <w:rFonts w:cs="Arial"/>
        </w:rPr>
        <w:t xml:space="preserve"> </w:t>
      </w:r>
      <w:r w:rsidR="006D61A9" w:rsidRPr="00F34907">
        <w:rPr>
          <w:rFonts w:cs="Arial"/>
        </w:rPr>
        <w:t xml:space="preserve">Zur Umsetzung eines effektiven und </w:t>
      </w:r>
      <w:r w:rsidR="006D61A9" w:rsidRPr="00F34907">
        <w:rPr>
          <w:rFonts w:cs="Arial"/>
        </w:rPr>
        <w:lastRenderedPageBreak/>
        <w:t xml:space="preserve">effizienten Breitbandausbaus </w:t>
      </w:r>
      <w:r w:rsidR="006D61A9">
        <w:rPr>
          <w:rFonts w:cs="Arial"/>
        </w:rPr>
        <w:t xml:space="preserve">hat der Gemeinderat mit der </w:t>
      </w:r>
      <w:proofErr w:type="spellStart"/>
      <w:r w:rsidR="006D61A9">
        <w:rPr>
          <w:rFonts w:cs="Arial"/>
        </w:rPr>
        <w:t>GRDrs</w:t>
      </w:r>
      <w:proofErr w:type="spellEnd"/>
      <w:r w:rsidR="000B2FDF">
        <w:rPr>
          <w:rFonts w:cs="Arial"/>
        </w:rPr>
        <w:t>.</w:t>
      </w:r>
      <w:r w:rsidR="006D61A9">
        <w:rPr>
          <w:rFonts w:cs="Arial"/>
        </w:rPr>
        <w:t xml:space="preserve"> 514/2018</w:t>
      </w:r>
      <w:r w:rsidR="006D61A9" w:rsidRPr="00F34907">
        <w:rPr>
          <w:rFonts w:cs="Arial"/>
        </w:rPr>
        <w:t xml:space="preserve"> </w:t>
      </w:r>
      <w:r w:rsidR="006D61A9">
        <w:rPr>
          <w:rFonts w:cs="Arial"/>
        </w:rPr>
        <w:t xml:space="preserve">bereits eine </w:t>
      </w:r>
      <w:r w:rsidR="006D61A9" w:rsidRPr="00F34907">
        <w:rPr>
          <w:rFonts w:cs="Arial"/>
        </w:rPr>
        <w:t>Grundsatzentscheidung</w:t>
      </w:r>
      <w:r w:rsidR="006D61A9">
        <w:rPr>
          <w:rFonts w:cs="Arial"/>
        </w:rPr>
        <w:t xml:space="preserve"> getroffen</w:t>
      </w:r>
      <w:r w:rsidR="006D61A9" w:rsidRPr="00F34907">
        <w:rPr>
          <w:rFonts w:cs="Arial"/>
        </w:rPr>
        <w:t xml:space="preserve">. Die </w:t>
      </w:r>
      <w:r w:rsidR="006D61A9" w:rsidRPr="001311DC">
        <w:t>Gigabit Region Stuttgart GmbH</w:t>
      </w:r>
      <w:r w:rsidR="006D61A9">
        <w:rPr>
          <w:rFonts w:cs="Arial"/>
        </w:rPr>
        <w:t xml:space="preserve"> ist</w:t>
      </w:r>
      <w:r w:rsidR="006D61A9" w:rsidRPr="00F34907">
        <w:rPr>
          <w:rFonts w:cs="Arial"/>
        </w:rPr>
        <w:t xml:space="preserve"> au</w:t>
      </w:r>
      <w:r w:rsidR="006D61A9">
        <w:rPr>
          <w:rFonts w:cs="Arial"/>
        </w:rPr>
        <w:t>f Regionsebene gegründet worden (</w:t>
      </w:r>
      <w:proofErr w:type="spellStart"/>
      <w:r w:rsidR="006D61A9">
        <w:rPr>
          <w:rFonts w:cs="Arial"/>
        </w:rPr>
        <w:t>GRDrs</w:t>
      </w:r>
      <w:proofErr w:type="spellEnd"/>
      <w:r w:rsidR="000B2FDF">
        <w:rPr>
          <w:rFonts w:cs="Arial"/>
        </w:rPr>
        <w:t>.</w:t>
      </w:r>
      <w:r w:rsidR="006D61A9">
        <w:rPr>
          <w:rFonts w:cs="Arial"/>
        </w:rPr>
        <w:t xml:space="preserve"> 278/2019)</w:t>
      </w:r>
      <w:r w:rsidR="00567689">
        <w:rPr>
          <w:rFonts w:cs="Arial"/>
        </w:rPr>
        <w:t xml:space="preserve">. </w:t>
      </w:r>
    </w:p>
    <w:p w:rsidR="005D0089" w:rsidRPr="007E18DB" w:rsidRDefault="005D0089" w:rsidP="00504341">
      <w:pPr>
        <w:rPr>
          <w:b/>
        </w:rPr>
      </w:pPr>
    </w:p>
    <w:p w:rsidR="006D61A9" w:rsidRDefault="00504341" w:rsidP="00504341">
      <w:pPr>
        <w:ind w:right="140"/>
      </w:pPr>
      <w:r w:rsidRPr="00F34907">
        <w:rPr>
          <w:rFonts w:cs="Arial"/>
        </w:rPr>
        <w:t>Die Breitbandversorgung ist ein entscheidender Standortfaktor und damit von maßgeblicher struktur- und wirtschaftspolitischer Bedeutung.</w:t>
      </w:r>
      <w:r w:rsidR="005D0089" w:rsidRPr="005D0089">
        <w:t xml:space="preserve"> </w:t>
      </w:r>
      <w:r w:rsidR="005D0089">
        <w:t xml:space="preserve">Diese Maßnahmen müssen in das Baustellenmanagement </w:t>
      </w:r>
      <w:r w:rsidR="006D61A9">
        <w:t>integriert,</w:t>
      </w:r>
      <w:r w:rsidR="005D0089">
        <w:t xml:space="preserve"> mit weiteren städtischen Baumaßnahmen Dritter (Leitungs- und Versorgungsträgern, SSB, Deutsche Bahn, usw.) frühzeitig </w:t>
      </w:r>
      <w:r w:rsidR="0097328E">
        <w:t xml:space="preserve">und effektiv koordiniert </w:t>
      </w:r>
      <w:r w:rsidR="008F2849">
        <w:t>werden.</w:t>
      </w:r>
      <w:r w:rsidR="005D0089">
        <w:t xml:space="preserve"> Hierdurch sollen Störungen im öffentlichen Raum minimiert</w:t>
      </w:r>
      <w:r w:rsidR="0097328E">
        <w:t xml:space="preserve"> sowie</w:t>
      </w:r>
      <w:r w:rsidR="006D61A9">
        <w:t xml:space="preserve"> </w:t>
      </w:r>
      <w:r w:rsidR="000B2FDF">
        <w:t>Bürger/-innen und Verkehrsteilnehmer/-</w:t>
      </w:r>
      <w:r w:rsidR="005D0089">
        <w:t xml:space="preserve">innen frühzeitig informiert werden. </w:t>
      </w:r>
      <w:r w:rsidR="0097328E">
        <w:t xml:space="preserve">Zusätzlich können </w:t>
      </w:r>
      <w:r w:rsidR="00DB7C4C">
        <w:t>die</w:t>
      </w:r>
      <w:r w:rsidR="0097328E">
        <w:t xml:space="preserve"> Beteiligte</w:t>
      </w:r>
      <w:r w:rsidR="00DB7C4C">
        <w:t>n</w:t>
      </w:r>
      <w:r w:rsidR="0097328E">
        <w:t xml:space="preserve"> durch Synergien Kosten einsparen.</w:t>
      </w:r>
    </w:p>
    <w:p w:rsidR="004A74B6" w:rsidRDefault="004A74B6" w:rsidP="00747E7C"/>
    <w:p w:rsidR="003D7B0B" w:rsidRDefault="003D7B0B" w:rsidP="00AD7DAE">
      <w:pPr>
        <w:pStyle w:val="berschrift2"/>
        <w:ind w:left="0" w:firstLine="0"/>
      </w:pPr>
      <w:r w:rsidRPr="00165C0D">
        <w:t>3.2</w:t>
      </w:r>
      <w:r w:rsidRPr="00165C0D">
        <w:tab/>
        <w:t>Bisherige Aufgabenwahrnehmung</w:t>
      </w:r>
    </w:p>
    <w:p w:rsidR="008F2849" w:rsidRPr="008F2849" w:rsidRDefault="008F2849" w:rsidP="008F2849"/>
    <w:p w:rsidR="0097328E" w:rsidRDefault="00DB7C4C" w:rsidP="0097328E">
      <w:pPr>
        <w:ind w:right="140"/>
        <w:rPr>
          <w:rFonts w:cs="Arial"/>
        </w:rPr>
      </w:pPr>
      <w:r>
        <w:rPr>
          <w:rFonts w:cs="Arial"/>
        </w:rPr>
        <w:t>Für die Umsetzung des Breitbandausbaus wurden bislang keine zusätzlichen personellen Kapazitäten geschaffen. Die Erfahrung hat gezeigt, dass d</w:t>
      </w:r>
      <w:r w:rsidR="0097328E">
        <w:rPr>
          <w:rFonts w:cs="Arial"/>
        </w:rPr>
        <w:t>ie beschriebenen</w:t>
      </w:r>
      <w:r>
        <w:rPr>
          <w:rFonts w:cs="Arial"/>
        </w:rPr>
        <w:t xml:space="preserve"> Aufgaben und Ausbauz</w:t>
      </w:r>
      <w:r w:rsidR="0097328E">
        <w:rPr>
          <w:rFonts w:cs="Arial"/>
        </w:rPr>
        <w:t xml:space="preserve">iele mit der vorhandenen Personalausstattung nicht zu leisten </w:t>
      </w:r>
      <w:r>
        <w:rPr>
          <w:rFonts w:cs="Arial"/>
        </w:rPr>
        <w:t>sind</w:t>
      </w:r>
      <w:r w:rsidR="0097328E">
        <w:rPr>
          <w:rFonts w:cs="Arial"/>
        </w:rPr>
        <w:t>. Um den</w:t>
      </w:r>
      <w:r>
        <w:rPr>
          <w:rFonts w:cs="Arial"/>
        </w:rPr>
        <w:t xml:space="preserve"> Anforderungen gerecht zu werden und</w:t>
      </w:r>
      <w:r w:rsidR="0097328E">
        <w:rPr>
          <w:rFonts w:cs="Arial"/>
        </w:rPr>
        <w:t xml:space="preserve"> </w:t>
      </w:r>
      <w:r>
        <w:rPr>
          <w:rFonts w:cs="Arial"/>
        </w:rPr>
        <w:t xml:space="preserve">den </w:t>
      </w:r>
      <w:r w:rsidR="0097328E">
        <w:rPr>
          <w:rFonts w:cs="Arial"/>
        </w:rPr>
        <w:t xml:space="preserve">Ausbau des schnellen Internets </w:t>
      </w:r>
      <w:r>
        <w:rPr>
          <w:rFonts w:cs="Arial"/>
        </w:rPr>
        <w:t>forcieren</w:t>
      </w:r>
      <w:r w:rsidR="0097328E">
        <w:rPr>
          <w:rFonts w:cs="Arial"/>
        </w:rPr>
        <w:t xml:space="preserve"> zu können, sind die beantragten Ingenieurstellen erforderlich.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6D435D" w:rsidRDefault="00567689" w:rsidP="00747E7C">
      <w:r>
        <w:t xml:space="preserve">Ohne die beiden (befristeten) Stellen </w:t>
      </w:r>
      <w:r w:rsidR="00747E7C">
        <w:t xml:space="preserve">kann </w:t>
      </w:r>
      <w:r w:rsidR="006D435D">
        <w:t xml:space="preserve">der Ausbau des Glasfasernetzes </w:t>
      </w:r>
      <w:r w:rsidR="00306AED">
        <w:t xml:space="preserve">und damit die im Vertrag </w:t>
      </w:r>
      <w:r w:rsidR="006D435D">
        <w:t>zwischen der Region Stuttgart, der Telekom und der Landeshauptstadt Stuttgart vereinbarten Fristen zur Versorgung von Handwerk und Industrie sowie der Bürger</w:t>
      </w:r>
      <w:r w:rsidR="000B2FDF">
        <w:t>/-</w:t>
      </w:r>
      <w:r w:rsidR="00DB7C4C">
        <w:t>innen</w:t>
      </w:r>
      <w:r w:rsidR="006D435D">
        <w:t xml:space="preserve"> mit schnellem Intern</w:t>
      </w:r>
      <w:r w:rsidR="00BB5A21">
        <w:t>et</w:t>
      </w:r>
      <w:r>
        <w:t xml:space="preserve"> </w:t>
      </w:r>
      <w:r w:rsidR="006D435D">
        <w:t xml:space="preserve">nicht umgesetzt </w:t>
      </w:r>
      <w:r>
        <w:t>werden, mit entsprechend negativen Auswirkungen auf die Landeshauptstadt und die Region.</w:t>
      </w:r>
    </w:p>
    <w:p w:rsidR="006D435D" w:rsidRDefault="006D435D" w:rsidP="00747E7C"/>
    <w:p w:rsidR="00747E7C" w:rsidRDefault="009D59E4" w:rsidP="00747E7C">
      <w:r>
        <w:t>Ebenso kann das Baustellenmanagementsystem nicht weiterentwickelt und dem aktuellen St</w:t>
      </w:r>
      <w:r w:rsidR="00567689">
        <w:t>and der Technik angepasst und Synergien können nicht genutzt werden.</w:t>
      </w:r>
    </w:p>
    <w:p w:rsidR="003D7B0B" w:rsidRPr="00A86B8C" w:rsidRDefault="00884D6C" w:rsidP="00AF2DE3">
      <w:pPr>
        <w:pStyle w:val="berschrift1"/>
        <w:ind w:left="0" w:firstLine="0"/>
        <w:rPr>
          <w:u w:val="none"/>
        </w:rPr>
      </w:pPr>
      <w:r w:rsidRPr="00A86B8C">
        <w:rPr>
          <w:u w:val="none"/>
        </w:rPr>
        <w:t>4</w:t>
      </w:r>
      <w:r w:rsidR="00A86B8C">
        <w:rPr>
          <w:u w:val="none"/>
        </w:rPr>
        <w:t xml:space="preserve">. </w:t>
      </w:r>
      <w:r w:rsidR="003D7B0B" w:rsidRPr="00A86B8C">
        <w:rPr>
          <w:u w:val="none"/>
        </w:rPr>
        <w:t>Stellenvermerke</w:t>
      </w:r>
    </w:p>
    <w:p w:rsidR="003D7B0B" w:rsidRDefault="003D7B0B" w:rsidP="00884D6C"/>
    <w:p w:rsidR="00DE362D" w:rsidRDefault="00081E5E" w:rsidP="00884D6C">
      <w:r>
        <w:t>KW 01/2028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67" w:rsidRDefault="00EF2467">
      <w:r>
        <w:separator/>
      </w:r>
    </w:p>
  </w:endnote>
  <w:endnote w:type="continuationSeparator" w:id="0">
    <w:p w:rsidR="00EF2467" w:rsidRDefault="00EF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67" w:rsidRDefault="00EF2467">
      <w:r>
        <w:separator/>
      </w:r>
    </w:p>
  </w:footnote>
  <w:footnote w:type="continuationSeparator" w:id="0">
    <w:p w:rsidR="00EF2467" w:rsidRDefault="00EF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505A7C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67"/>
    <w:rsid w:val="00055758"/>
    <w:rsid w:val="00081E5E"/>
    <w:rsid w:val="000A1146"/>
    <w:rsid w:val="000B2FDF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C2EF1"/>
    <w:rsid w:val="001E1981"/>
    <w:rsid w:val="001F7237"/>
    <w:rsid w:val="002126FB"/>
    <w:rsid w:val="002445EA"/>
    <w:rsid w:val="002924CB"/>
    <w:rsid w:val="002A20D1"/>
    <w:rsid w:val="002A4DE3"/>
    <w:rsid w:val="002B5955"/>
    <w:rsid w:val="002D38BA"/>
    <w:rsid w:val="0030686C"/>
    <w:rsid w:val="00306AED"/>
    <w:rsid w:val="003418C1"/>
    <w:rsid w:val="00380937"/>
    <w:rsid w:val="00397717"/>
    <w:rsid w:val="003D7B0B"/>
    <w:rsid w:val="003F0FAA"/>
    <w:rsid w:val="00470135"/>
    <w:rsid w:val="00473388"/>
    <w:rsid w:val="0047606A"/>
    <w:rsid w:val="004908B5"/>
    <w:rsid w:val="0049121B"/>
    <w:rsid w:val="004A1688"/>
    <w:rsid w:val="004A74B6"/>
    <w:rsid w:val="004B6796"/>
    <w:rsid w:val="00504341"/>
    <w:rsid w:val="00505A7C"/>
    <w:rsid w:val="005621BE"/>
    <w:rsid w:val="00567689"/>
    <w:rsid w:val="005A0A9D"/>
    <w:rsid w:val="005A56AA"/>
    <w:rsid w:val="005D0089"/>
    <w:rsid w:val="005E19C6"/>
    <w:rsid w:val="005F2D64"/>
    <w:rsid w:val="005F5B3D"/>
    <w:rsid w:val="0060602D"/>
    <w:rsid w:val="00606F80"/>
    <w:rsid w:val="00622CC7"/>
    <w:rsid w:val="00687640"/>
    <w:rsid w:val="006A406B"/>
    <w:rsid w:val="006A4137"/>
    <w:rsid w:val="006B6D50"/>
    <w:rsid w:val="006D435D"/>
    <w:rsid w:val="006D61A9"/>
    <w:rsid w:val="006E0575"/>
    <w:rsid w:val="0072799A"/>
    <w:rsid w:val="00733AAA"/>
    <w:rsid w:val="00747E7C"/>
    <w:rsid w:val="00754659"/>
    <w:rsid w:val="007E3B79"/>
    <w:rsid w:val="008066EE"/>
    <w:rsid w:val="00817BB6"/>
    <w:rsid w:val="00884D6C"/>
    <w:rsid w:val="008F2849"/>
    <w:rsid w:val="00920F00"/>
    <w:rsid w:val="009373F6"/>
    <w:rsid w:val="00940708"/>
    <w:rsid w:val="00970FB1"/>
    <w:rsid w:val="0097328E"/>
    <w:rsid w:val="00976588"/>
    <w:rsid w:val="009D59E4"/>
    <w:rsid w:val="00A22588"/>
    <w:rsid w:val="00A27CA7"/>
    <w:rsid w:val="00A45B30"/>
    <w:rsid w:val="00A71D0A"/>
    <w:rsid w:val="00A744B3"/>
    <w:rsid w:val="00A77F1E"/>
    <w:rsid w:val="00A847C4"/>
    <w:rsid w:val="00A86B8C"/>
    <w:rsid w:val="00AA0658"/>
    <w:rsid w:val="00AB389D"/>
    <w:rsid w:val="00AD7DAE"/>
    <w:rsid w:val="00AE7B02"/>
    <w:rsid w:val="00AF0DEA"/>
    <w:rsid w:val="00AF25E0"/>
    <w:rsid w:val="00AF2DE3"/>
    <w:rsid w:val="00B04290"/>
    <w:rsid w:val="00B55467"/>
    <w:rsid w:val="00B80DEF"/>
    <w:rsid w:val="00B86BB5"/>
    <w:rsid w:val="00B91903"/>
    <w:rsid w:val="00BB5A21"/>
    <w:rsid w:val="00BC4669"/>
    <w:rsid w:val="00BE4E47"/>
    <w:rsid w:val="00C15B9B"/>
    <w:rsid w:val="00C16EF1"/>
    <w:rsid w:val="00C448D3"/>
    <w:rsid w:val="00CE1951"/>
    <w:rsid w:val="00CF62E5"/>
    <w:rsid w:val="00D66D3A"/>
    <w:rsid w:val="00D743D4"/>
    <w:rsid w:val="00DB3D6C"/>
    <w:rsid w:val="00DB7C4C"/>
    <w:rsid w:val="00DE362D"/>
    <w:rsid w:val="00E014B6"/>
    <w:rsid w:val="00E1162F"/>
    <w:rsid w:val="00E11D5F"/>
    <w:rsid w:val="00E20E1F"/>
    <w:rsid w:val="00E42F96"/>
    <w:rsid w:val="00E47D76"/>
    <w:rsid w:val="00E7118F"/>
    <w:rsid w:val="00EF2467"/>
    <w:rsid w:val="00F27657"/>
    <w:rsid w:val="00F342DC"/>
    <w:rsid w:val="00F56F93"/>
    <w:rsid w:val="00F63041"/>
    <w:rsid w:val="00F76452"/>
    <w:rsid w:val="00FA3C10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2D4269-A2E1-40BD-8E1E-13E1F945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2022/2023</dc:subject>
  <dc:creator>Gass, Alexander</dc:creator>
  <cp:lastModifiedBy>Siefer, Renate</cp:lastModifiedBy>
  <cp:revision>9</cp:revision>
  <cp:lastPrinted>2021-10-06T09:41:00Z</cp:lastPrinted>
  <dcterms:created xsi:type="dcterms:W3CDTF">2021-09-17T12:53:00Z</dcterms:created>
  <dcterms:modified xsi:type="dcterms:W3CDTF">2021-10-26T12:01:00Z</dcterms:modified>
</cp:coreProperties>
</file>